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49" w:rsidRDefault="00CE5E4B">
      <w:pPr>
        <w:pStyle w:val="Heading7"/>
        <w:jc w:val="center"/>
        <w:rPr>
          <w:color w:val="000000"/>
          <w:sz w:val="44"/>
        </w:rPr>
      </w:pPr>
      <w:r>
        <w:rPr>
          <w:rFonts w:ascii="Arial" w:hAnsi="Arial"/>
          <w:b/>
          <w:noProof/>
          <w:color w:val="000000"/>
          <w:sz w:val="44"/>
        </w:rPr>
        <w:pict>
          <v:shapetype id="_x0000_t202" coordsize="21600,21600" o:spt="202" path="m,l,21600r21600,l21600,xe">
            <v:stroke joinstyle="miter"/>
            <v:path gradientshapeok="t" o:connecttype="rect"/>
          </v:shapetype>
          <v:shape id="_x0000_s1031" type="#_x0000_t202" style="position:absolute;left:0;text-align:left;margin-left:163.8pt;margin-top:-15.6pt;width:92pt;height:29.3pt;z-index:251657728;mso-width-relative:margin;mso-height-relative:margin" stroked="f">
            <v:textbox>
              <w:txbxContent>
                <w:p w:rsidR="00CE5E4B" w:rsidRPr="00A86491" w:rsidRDefault="00CE5E4B" w:rsidP="00CE5E4B">
                  <w:pPr>
                    <w:jc w:val="center"/>
                    <w:rPr>
                      <w:rFonts w:ascii="Arial" w:hAnsi="Arial" w:cs="Arial"/>
                      <w:b/>
                      <w:sz w:val="28"/>
                      <w:szCs w:val="28"/>
                    </w:rPr>
                  </w:pPr>
                  <w:r w:rsidRPr="00A86491">
                    <w:rPr>
                      <w:rFonts w:ascii="Arial" w:hAnsi="Arial" w:cs="Arial"/>
                      <w:b/>
                      <w:sz w:val="28"/>
                      <w:szCs w:val="28"/>
                    </w:rPr>
                    <w:t>Exhibit C</w:t>
                  </w:r>
                </w:p>
              </w:txbxContent>
            </v:textbox>
          </v:shape>
        </w:pict>
      </w:r>
      <w:r>
        <w:rPr>
          <w:rFonts w:ascii="Arial" w:hAnsi="Arial"/>
          <w:noProof/>
          <w:color w:val="000000"/>
        </w:rPr>
        <w:pict>
          <v:shape id="_x0000_s1032" type="#_x0000_t202" style="position:absolute;left:0;text-align:left;margin-left:393.2pt;margin-top:-9.6pt;width:78.6pt;height:21pt;z-index:251658752;mso-height-percent:200;mso-height-percent:200;mso-width-relative:margin;mso-height-relative:margin" stroked="f">
            <v:textbox style="mso-fit-shape-to-text:t">
              <w:txbxContent>
                <w:p w:rsidR="00CE5E4B" w:rsidRPr="009C3F4E" w:rsidRDefault="00CE5E4B" w:rsidP="00CE5E4B">
                  <w:pPr>
                    <w:jc w:val="center"/>
                    <w:rPr>
                      <w:rFonts w:ascii="Arial" w:hAnsi="Arial" w:cs="Arial"/>
                      <w:sz w:val="24"/>
                      <w:szCs w:val="24"/>
                    </w:rPr>
                  </w:pPr>
                  <w:r>
                    <w:rPr>
                      <w:rFonts w:ascii="Arial" w:hAnsi="Arial" w:cs="Arial"/>
                      <w:sz w:val="24"/>
                      <w:szCs w:val="24"/>
                    </w:rPr>
                    <w:t>W 17163</w:t>
                  </w:r>
                </w:p>
              </w:txbxContent>
            </v:textbox>
          </v:shape>
        </w:pict>
      </w:r>
    </w:p>
    <w:p w:rsidR="004F7049" w:rsidRDefault="004F7049">
      <w:pPr>
        <w:pStyle w:val="Heading7"/>
        <w:jc w:val="center"/>
        <w:rPr>
          <w:rFonts w:ascii="Arial" w:hAnsi="Arial"/>
          <w:b/>
          <w:color w:val="000000"/>
          <w:sz w:val="44"/>
        </w:rPr>
      </w:pPr>
      <w:r>
        <w:rPr>
          <w:rFonts w:ascii="Arial" w:hAnsi="Arial"/>
          <w:b/>
          <w:color w:val="000000"/>
          <w:sz w:val="44"/>
        </w:rPr>
        <w:t>Long Beach Unit</w:t>
      </w:r>
    </w:p>
    <w:p w:rsidR="004F7049" w:rsidRDefault="004F7049"/>
    <w:p w:rsidR="004F7049" w:rsidRDefault="004F7049"/>
    <w:p w:rsidR="004F7049" w:rsidRDefault="004F7049">
      <w:pPr>
        <w:pStyle w:val="Heading7"/>
        <w:jc w:val="center"/>
        <w:rPr>
          <w:rFonts w:ascii="Arial" w:hAnsi="Arial"/>
          <w:b/>
          <w:color w:val="000000"/>
          <w:sz w:val="44"/>
        </w:rPr>
      </w:pPr>
      <w:r>
        <w:rPr>
          <w:rFonts w:ascii="Arial" w:hAnsi="Arial"/>
          <w:b/>
          <w:color w:val="000000"/>
          <w:sz w:val="44"/>
        </w:rPr>
        <w:t>THUMS Long Beach Company</w:t>
      </w:r>
    </w:p>
    <w:p w:rsidR="004F7049" w:rsidRDefault="004F7049">
      <w:pPr>
        <w:pStyle w:val="Heading7"/>
        <w:jc w:val="center"/>
        <w:rPr>
          <w:rFonts w:ascii="Arial" w:hAnsi="Arial"/>
          <w:color w:val="000000"/>
          <w:sz w:val="44"/>
        </w:rPr>
      </w:pPr>
      <w:r>
        <w:rPr>
          <w:rFonts w:ascii="Arial" w:hAnsi="Arial"/>
          <w:color w:val="000000"/>
          <w:sz w:val="44"/>
        </w:rPr>
        <w:t>(Agent for Field Contractor)</w:t>
      </w:r>
    </w:p>
    <w:p w:rsidR="004F7049" w:rsidRDefault="004F7049">
      <w:pPr>
        <w:rPr>
          <w:rFonts w:ascii="Arial" w:hAnsi="Arial"/>
          <w:color w:val="000000"/>
        </w:rPr>
      </w:pPr>
    </w:p>
    <w:p w:rsidR="004F7049" w:rsidRDefault="00A86491">
      <w:pPr>
        <w:jc w:val="center"/>
        <w:rPr>
          <w:rFonts w:ascii="Arial" w:hAnsi="Arial"/>
          <w:color w:val="000000"/>
        </w:rPr>
      </w:pPr>
      <w:r>
        <w:rPr>
          <w:noProof/>
        </w:rPr>
        <w:drawing>
          <wp:inline distT="0" distB="0" distL="0" distR="0">
            <wp:extent cx="2209800" cy="2865120"/>
            <wp:effectExtent l="19050" t="0" r="0" b="0"/>
            <wp:docPr id="1" name="Picture 1" descr="2008 Annual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8 Annual Plan"/>
                    <pic:cNvPicPr>
                      <a:picLocks noChangeAspect="1" noChangeArrowheads="1"/>
                    </pic:cNvPicPr>
                  </pic:nvPicPr>
                  <pic:blipFill>
                    <a:blip r:embed="rId7">
                      <a:grayscl/>
                    </a:blip>
                    <a:srcRect/>
                    <a:stretch>
                      <a:fillRect/>
                    </a:stretch>
                  </pic:blipFill>
                  <pic:spPr bwMode="auto">
                    <a:xfrm>
                      <a:off x="0" y="0"/>
                      <a:ext cx="2209800" cy="2865120"/>
                    </a:xfrm>
                    <a:prstGeom prst="rect">
                      <a:avLst/>
                    </a:prstGeom>
                    <a:noFill/>
                    <a:ln w="9525">
                      <a:noFill/>
                      <a:miter lim="800000"/>
                      <a:headEnd/>
                      <a:tailEnd/>
                    </a:ln>
                  </pic:spPr>
                </pic:pic>
              </a:graphicData>
            </a:graphic>
          </wp:inline>
        </w:drawing>
      </w:r>
    </w:p>
    <w:p w:rsidR="004F7049" w:rsidRDefault="004F7049">
      <w:pPr>
        <w:jc w:val="center"/>
        <w:rPr>
          <w:rFonts w:ascii="Arial" w:hAnsi="Arial"/>
          <w:color w:val="000000"/>
        </w:rPr>
      </w:pPr>
    </w:p>
    <w:p w:rsidR="004F7049" w:rsidRDefault="004F7049">
      <w:pPr>
        <w:rPr>
          <w:rFonts w:ascii="Arial" w:hAnsi="Arial"/>
          <w:color w:val="000000"/>
        </w:rPr>
      </w:pPr>
    </w:p>
    <w:p w:rsidR="004F7049" w:rsidRDefault="004F7049">
      <w:pPr>
        <w:pStyle w:val="Heading7"/>
        <w:jc w:val="center"/>
        <w:rPr>
          <w:rFonts w:ascii="Arial" w:hAnsi="Arial"/>
          <w:b/>
          <w:color w:val="000000"/>
          <w:sz w:val="52"/>
        </w:rPr>
      </w:pPr>
      <w:r>
        <w:rPr>
          <w:rFonts w:ascii="Arial" w:hAnsi="Arial"/>
          <w:b/>
          <w:color w:val="000000"/>
          <w:sz w:val="52"/>
        </w:rPr>
        <w:t>ANNUAL PLAN</w:t>
      </w:r>
    </w:p>
    <w:p w:rsidR="004F7049" w:rsidRDefault="004F7049"/>
    <w:p w:rsidR="004F7049" w:rsidRDefault="004F7049"/>
    <w:p w:rsidR="004F7049" w:rsidRDefault="004F7049">
      <w:pPr>
        <w:pStyle w:val="Heading7"/>
        <w:jc w:val="center"/>
        <w:rPr>
          <w:rFonts w:ascii="Arial" w:hAnsi="Arial"/>
          <w:color w:val="000000"/>
          <w:sz w:val="44"/>
        </w:rPr>
      </w:pPr>
      <w:r>
        <w:rPr>
          <w:rFonts w:ascii="Arial" w:hAnsi="Arial"/>
          <w:color w:val="000000"/>
          <w:sz w:val="44"/>
        </w:rPr>
        <w:t>July 1, 2009 through June 30, 2010</w:t>
      </w:r>
    </w:p>
    <w:p w:rsidR="004F7049" w:rsidRDefault="004F7049">
      <w:pPr>
        <w:rPr>
          <w:color w:val="000000"/>
        </w:rPr>
      </w:pPr>
    </w:p>
    <w:p w:rsidR="004F7049" w:rsidRDefault="00A86491">
      <w:pPr>
        <w:rPr>
          <w:color w:val="000000"/>
        </w:rPr>
      </w:pPr>
      <w:r>
        <w:rPr>
          <w:noProof/>
          <w:color w:val="000000"/>
        </w:rPr>
        <w:drawing>
          <wp:anchor distT="0" distB="0" distL="114300" distR="114300" simplePos="0" relativeHeight="251656704" behindDoc="0" locked="0" layoutInCell="0" allowOverlap="1">
            <wp:simplePos x="0" y="0"/>
            <wp:positionH relativeFrom="column">
              <wp:posOffset>655320</wp:posOffset>
            </wp:positionH>
            <wp:positionV relativeFrom="paragraph">
              <wp:posOffset>48260</wp:posOffset>
            </wp:positionV>
            <wp:extent cx="3931920" cy="2165985"/>
            <wp:effectExtent l="1905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grayscl/>
                    </a:blip>
                    <a:srcRect/>
                    <a:stretch>
                      <a:fillRect/>
                    </a:stretch>
                  </pic:blipFill>
                  <pic:spPr bwMode="auto">
                    <a:xfrm>
                      <a:off x="0" y="0"/>
                      <a:ext cx="3931920" cy="2165985"/>
                    </a:xfrm>
                    <a:prstGeom prst="rect">
                      <a:avLst/>
                    </a:prstGeom>
                    <a:noFill/>
                    <a:ln w="12700">
                      <a:noFill/>
                      <a:miter lim="800000"/>
                      <a:headEnd/>
                      <a:tailEnd/>
                    </a:ln>
                    <a:effectLst/>
                  </pic:spPr>
                </pic:pic>
              </a:graphicData>
            </a:graphic>
          </wp:anchor>
        </w:drawing>
      </w:r>
    </w:p>
    <w:p w:rsidR="004F7049" w:rsidRDefault="004F7049">
      <w:pPr>
        <w:rPr>
          <w:color w:val="000000"/>
        </w:rPr>
      </w:pPr>
    </w:p>
    <w:p w:rsidR="004F7049" w:rsidRDefault="004F7049">
      <w:pPr>
        <w:rPr>
          <w:color w:val="000000"/>
        </w:rPr>
      </w:pPr>
    </w:p>
    <w:p w:rsidR="004F7049" w:rsidRDefault="004F7049">
      <w:pPr>
        <w:rPr>
          <w:color w:val="000000"/>
        </w:rPr>
      </w:pPr>
    </w:p>
    <w:p w:rsidR="004F7049" w:rsidRDefault="004F7049">
      <w:pPr>
        <w:rPr>
          <w:color w:val="000000"/>
        </w:rPr>
      </w:pPr>
    </w:p>
    <w:p w:rsidR="004F7049" w:rsidRDefault="004F7049">
      <w:pPr>
        <w:rPr>
          <w:color w:val="000000"/>
        </w:rPr>
      </w:pPr>
    </w:p>
    <w:p w:rsidR="004F7049" w:rsidRDefault="004F7049">
      <w:pPr>
        <w:rPr>
          <w:color w:val="000000"/>
        </w:rPr>
      </w:pPr>
    </w:p>
    <w:p w:rsidR="004F7049" w:rsidRDefault="004F7049">
      <w:pPr>
        <w:rPr>
          <w:color w:val="000000"/>
        </w:rPr>
      </w:pPr>
    </w:p>
    <w:p w:rsidR="004F7049" w:rsidRDefault="004F7049">
      <w:pPr>
        <w:rPr>
          <w:color w:val="000000"/>
        </w:rPr>
      </w:pPr>
    </w:p>
    <w:p w:rsidR="004F7049" w:rsidRDefault="004F7049">
      <w:pPr>
        <w:rPr>
          <w:color w:val="000000"/>
        </w:rPr>
      </w:pPr>
    </w:p>
    <w:p w:rsidR="004F7049" w:rsidRDefault="004F7049">
      <w:pPr>
        <w:rPr>
          <w:color w:val="000000"/>
        </w:rPr>
      </w:pPr>
    </w:p>
    <w:p w:rsidR="004F7049" w:rsidRDefault="004F7049">
      <w:pPr>
        <w:rPr>
          <w:color w:val="000000"/>
        </w:rPr>
      </w:pPr>
    </w:p>
    <w:p w:rsidR="004F7049" w:rsidRDefault="004F7049">
      <w:pPr>
        <w:rPr>
          <w:color w:val="000000"/>
        </w:rPr>
        <w:sectPr w:rsidR="004F7049">
          <w:headerReference w:type="default" r:id="rId9"/>
          <w:footerReference w:type="even" r:id="rId10"/>
          <w:footerReference w:type="default" r:id="rId11"/>
          <w:headerReference w:type="first" r:id="rId12"/>
          <w:pgSz w:w="12240" w:h="15840"/>
          <w:pgMar w:top="1440" w:right="1800" w:bottom="1440" w:left="1800" w:header="720" w:footer="720" w:gutter="0"/>
          <w:cols w:space="720"/>
          <w:titlePg/>
        </w:sectPr>
      </w:pPr>
    </w:p>
    <w:p w:rsidR="004F7049" w:rsidRDefault="004F7049">
      <w:pPr>
        <w:pStyle w:val="Heading2"/>
        <w:rPr>
          <w:rFonts w:ascii="Arial" w:hAnsi="Arial"/>
          <w:b/>
          <w:color w:val="000000"/>
        </w:rPr>
      </w:pPr>
    </w:p>
    <w:p w:rsidR="004F7049" w:rsidRDefault="004F7049">
      <w:pPr>
        <w:jc w:val="center"/>
        <w:rPr>
          <w:rFonts w:ascii="Arial" w:hAnsi="Arial" w:cs="Arial"/>
          <w:b/>
          <w:bCs/>
          <w:sz w:val="28"/>
          <w:szCs w:val="28"/>
        </w:rPr>
      </w:pPr>
      <w:r>
        <w:rPr>
          <w:rFonts w:ascii="Arial" w:hAnsi="Arial" w:cs="Arial"/>
          <w:b/>
          <w:bCs/>
          <w:sz w:val="28"/>
          <w:szCs w:val="28"/>
        </w:rPr>
        <w:t>ANNUAL PLAN</w:t>
      </w:r>
    </w:p>
    <w:p w:rsidR="004F7049" w:rsidRDefault="004F7049">
      <w:pPr>
        <w:jc w:val="center"/>
        <w:rPr>
          <w:rFonts w:ascii="Arial" w:hAnsi="Arial" w:cs="Arial"/>
          <w:sz w:val="28"/>
        </w:rPr>
      </w:pPr>
    </w:p>
    <w:p w:rsidR="004F7049" w:rsidRDefault="004F7049">
      <w:pPr>
        <w:pStyle w:val="Heading3"/>
        <w:rPr>
          <w:rFonts w:ascii="Arial" w:hAnsi="Arial" w:cs="Arial"/>
          <w:bCs/>
        </w:rPr>
      </w:pPr>
      <w:r>
        <w:rPr>
          <w:rFonts w:ascii="Arial" w:hAnsi="Arial" w:cs="Arial"/>
          <w:bCs/>
        </w:rPr>
        <w:t>July 1, 2009 through June 30, 2010</w:t>
      </w:r>
    </w:p>
    <w:p w:rsidR="004F7049" w:rsidRDefault="004F7049">
      <w:pPr>
        <w:jc w:val="center"/>
        <w:rPr>
          <w:rFonts w:ascii="Arial" w:hAnsi="Arial" w:cs="Arial"/>
          <w:sz w:val="28"/>
        </w:rPr>
      </w:pPr>
    </w:p>
    <w:p w:rsidR="004F7049" w:rsidRDefault="004F7049">
      <w:pPr>
        <w:jc w:val="center"/>
        <w:rPr>
          <w:rFonts w:ascii="Arial" w:hAnsi="Arial" w:cs="Arial"/>
          <w:b/>
          <w:bCs/>
          <w:sz w:val="28"/>
          <w:szCs w:val="28"/>
        </w:rPr>
      </w:pPr>
      <w:r>
        <w:rPr>
          <w:rFonts w:ascii="Arial" w:hAnsi="Arial" w:cs="Arial"/>
          <w:b/>
          <w:bCs/>
          <w:sz w:val="28"/>
          <w:szCs w:val="28"/>
        </w:rPr>
        <w:t>Table of Contents</w:t>
      </w:r>
    </w:p>
    <w:p w:rsidR="004F7049" w:rsidRDefault="004F7049">
      <w:pPr>
        <w:rPr>
          <w:rFonts w:ascii="Arial" w:hAnsi="Arial"/>
          <w:color w:val="000000"/>
          <w:sz w:val="28"/>
        </w:rPr>
      </w:pPr>
    </w:p>
    <w:p w:rsidR="004F7049" w:rsidRDefault="004F7049">
      <w:pPr>
        <w:jc w:val="center"/>
        <w:rPr>
          <w:rFonts w:ascii="Arial" w:hAnsi="Arial"/>
          <w:b/>
          <w:color w:val="000000"/>
          <w:sz w:val="28"/>
          <w:szCs w:val="28"/>
          <w:u w:val="single"/>
        </w:rPr>
      </w:pP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olor w:val="000000"/>
          <w:sz w:val="28"/>
          <w:szCs w:val="28"/>
        </w:rPr>
        <w:tab/>
      </w:r>
      <w:r>
        <w:rPr>
          <w:rFonts w:ascii="Arial" w:hAnsi="Arial" w:cs="Arial"/>
          <w:b/>
          <w:bCs/>
          <w:sz w:val="28"/>
          <w:szCs w:val="28"/>
        </w:rPr>
        <w:t>Page</w:t>
      </w:r>
    </w:p>
    <w:p w:rsidR="004F7049" w:rsidRDefault="004F7049">
      <w:pPr>
        <w:pStyle w:val="TOC1"/>
        <w:tabs>
          <w:tab w:val="right" w:leader="dot" w:pos="8630"/>
        </w:tabs>
        <w:rPr>
          <w:noProof/>
          <w:sz w:val="28"/>
          <w:szCs w:val="28"/>
        </w:rPr>
      </w:pPr>
      <w:r>
        <w:rPr>
          <w:rFonts w:ascii="Arial" w:hAnsi="Arial"/>
          <w:color w:val="000000"/>
          <w:sz w:val="28"/>
          <w:szCs w:val="28"/>
        </w:rPr>
        <w:fldChar w:fldCharType="begin"/>
      </w:r>
      <w:r>
        <w:rPr>
          <w:rFonts w:ascii="Arial" w:hAnsi="Arial"/>
          <w:color w:val="000000"/>
          <w:sz w:val="28"/>
          <w:szCs w:val="28"/>
        </w:rPr>
        <w:instrText xml:space="preserve"> TOC \o "1-2" \h \z \u </w:instrText>
      </w:r>
      <w:r>
        <w:rPr>
          <w:rFonts w:ascii="Arial" w:hAnsi="Arial"/>
          <w:color w:val="000000"/>
          <w:sz w:val="28"/>
          <w:szCs w:val="28"/>
        </w:rPr>
        <w:fldChar w:fldCharType="separate"/>
      </w:r>
      <w:hyperlink w:anchor="_Toc222647830" w:history="1">
        <w:r>
          <w:rPr>
            <w:rStyle w:val="Hyperlink"/>
            <w:rFonts w:ascii="Arial" w:hAnsi="Arial" w:cs="Arial"/>
            <w:b/>
            <w:bCs/>
            <w:noProof/>
            <w:sz w:val="28"/>
            <w:szCs w:val="28"/>
          </w:rPr>
          <w:t>Part I - Introduction</w:t>
        </w:r>
        <w:r>
          <w:rPr>
            <w:noProof/>
            <w:webHidden/>
            <w:sz w:val="28"/>
            <w:szCs w:val="28"/>
          </w:rPr>
          <w:tab/>
        </w:r>
        <w:r>
          <w:rPr>
            <w:noProof/>
            <w:webHidden/>
            <w:sz w:val="28"/>
            <w:szCs w:val="28"/>
          </w:rPr>
          <w:fldChar w:fldCharType="begin"/>
        </w:r>
        <w:r>
          <w:rPr>
            <w:noProof/>
            <w:webHidden/>
            <w:sz w:val="28"/>
            <w:szCs w:val="28"/>
          </w:rPr>
          <w:instrText xml:space="preserve"> PAGEREF _Toc222647830 \h </w:instrText>
        </w:r>
        <w:r>
          <w:rPr>
            <w:noProof/>
            <w:sz w:val="28"/>
            <w:szCs w:val="28"/>
          </w:rPr>
        </w:r>
        <w:r>
          <w:rPr>
            <w:noProof/>
            <w:webHidden/>
            <w:sz w:val="28"/>
            <w:szCs w:val="28"/>
          </w:rPr>
          <w:fldChar w:fldCharType="separate"/>
        </w:r>
        <w:r w:rsidR="00E232F6">
          <w:rPr>
            <w:noProof/>
            <w:webHidden/>
            <w:sz w:val="28"/>
            <w:szCs w:val="28"/>
          </w:rPr>
          <w:t>2</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31" w:history="1">
        <w:r>
          <w:rPr>
            <w:rStyle w:val="Hyperlink"/>
            <w:rFonts w:ascii="Arial" w:hAnsi="Arial" w:cs="Arial"/>
            <w:b/>
            <w:bCs/>
            <w:noProof/>
            <w:sz w:val="28"/>
            <w:szCs w:val="28"/>
          </w:rPr>
          <w:t>A. Plan Basis</w:t>
        </w:r>
        <w:r>
          <w:rPr>
            <w:noProof/>
            <w:webHidden/>
            <w:sz w:val="28"/>
            <w:szCs w:val="28"/>
          </w:rPr>
          <w:tab/>
        </w:r>
        <w:r>
          <w:rPr>
            <w:noProof/>
            <w:webHidden/>
            <w:sz w:val="28"/>
            <w:szCs w:val="28"/>
          </w:rPr>
          <w:fldChar w:fldCharType="begin"/>
        </w:r>
        <w:r>
          <w:rPr>
            <w:noProof/>
            <w:webHidden/>
            <w:sz w:val="28"/>
            <w:szCs w:val="28"/>
          </w:rPr>
          <w:instrText xml:space="preserve"> PAGEREF _Toc222647831 \h </w:instrText>
        </w:r>
        <w:r>
          <w:rPr>
            <w:noProof/>
            <w:sz w:val="28"/>
            <w:szCs w:val="28"/>
          </w:rPr>
        </w:r>
        <w:r>
          <w:rPr>
            <w:noProof/>
            <w:webHidden/>
            <w:sz w:val="28"/>
            <w:szCs w:val="28"/>
          </w:rPr>
          <w:fldChar w:fldCharType="separate"/>
        </w:r>
        <w:r w:rsidR="00E232F6">
          <w:rPr>
            <w:noProof/>
            <w:webHidden/>
            <w:sz w:val="28"/>
            <w:szCs w:val="28"/>
          </w:rPr>
          <w:t>3</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32" w:history="1">
        <w:r>
          <w:rPr>
            <w:rStyle w:val="Hyperlink"/>
            <w:rFonts w:ascii="Arial" w:hAnsi="Arial" w:cs="Arial"/>
            <w:b/>
            <w:bCs/>
            <w:noProof/>
            <w:sz w:val="28"/>
            <w:szCs w:val="28"/>
          </w:rPr>
          <w:t>B. Economic Projections</w:t>
        </w:r>
        <w:r>
          <w:rPr>
            <w:noProof/>
            <w:webHidden/>
            <w:sz w:val="28"/>
            <w:szCs w:val="28"/>
          </w:rPr>
          <w:tab/>
        </w:r>
        <w:r>
          <w:rPr>
            <w:noProof/>
            <w:webHidden/>
            <w:sz w:val="28"/>
            <w:szCs w:val="28"/>
          </w:rPr>
          <w:fldChar w:fldCharType="begin"/>
        </w:r>
        <w:r>
          <w:rPr>
            <w:noProof/>
            <w:webHidden/>
            <w:sz w:val="28"/>
            <w:szCs w:val="28"/>
          </w:rPr>
          <w:instrText xml:space="preserve"> PAGEREF _Toc222647832 \h </w:instrText>
        </w:r>
        <w:r>
          <w:rPr>
            <w:noProof/>
            <w:sz w:val="28"/>
            <w:szCs w:val="28"/>
          </w:rPr>
        </w:r>
        <w:r>
          <w:rPr>
            <w:noProof/>
            <w:webHidden/>
            <w:sz w:val="28"/>
            <w:szCs w:val="28"/>
          </w:rPr>
          <w:fldChar w:fldCharType="separate"/>
        </w:r>
        <w:r w:rsidR="00E232F6">
          <w:rPr>
            <w:noProof/>
            <w:webHidden/>
            <w:sz w:val="28"/>
            <w:szCs w:val="28"/>
          </w:rPr>
          <w:t>5</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33" w:history="1">
        <w:r>
          <w:rPr>
            <w:rStyle w:val="Hyperlink"/>
            <w:rFonts w:ascii="Arial" w:hAnsi="Arial" w:cs="Arial"/>
            <w:b/>
            <w:bCs/>
            <w:noProof/>
            <w:sz w:val="28"/>
            <w:szCs w:val="28"/>
          </w:rPr>
          <w:t>C. Major Planning Assumptions</w:t>
        </w:r>
        <w:r>
          <w:rPr>
            <w:noProof/>
            <w:webHidden/>
            <w:sz w:val="28"/>
            <w:szCs w:val="28"/>
          </w:rPr>
          <w:tab/>
        </w:r>
        <w:r>
          <w:rPr>
            <w:noProof/>
            <w:webHidden/>
            <w:sz w:val="28"/>
            <w:szCs w:val="28"/>
          </w:rPr>
          <w:fldChar w:fldCharType="begin"/>
        </w:r>
        <w:r>
          <w:rPr>
            <w:noProof/>
            <w:webHidden/>
            <w:sz w:val="28"/>
            <w:szCs w:val="28"/>
          </w:rPr>
          <w:instrText xml:space="preserve"> PAGEREF _Toc222647833 \h </w:instrText>
        </w:r>
        <w:r>
          <w:rPr>
            <w:noProof/>
            <w:sz w:val="28"/>
            <w:szCs w:val="28"/>
          </w:rPr>
        </w:r>
        <w:r>
          <w:rPr>
            <w:noProof/>
            <w:webHidden/>
            <w:sz w:val="28"/>
            <w:szCs w:val="28"/>
          </w:rPr>
          <w:fldChar w:fldCharType="separate"/>
        </w:r>
        <w:r w:rsidR="00E232F6">
          <w:rPr>
            <w:noProof/>
            <w:webHidden/>
            <w:sz w:val="28"/>
            <w:szCs w:val="28"/>
          </w:rPr>
          <w:t>6</w:t>
        </w:r>
        <w:r>
          <w:rPr>
            <w:noProof/>
            <w:webHidden/>
            <w:sz w:val="28"/>
            <w:szCs w:val="28"/>
          </w:rPr>
          <w:fldChar w:fldCharType="end"/>
        </w:r>
      </w:hyperlink>
    </w:p>
    <w:p w:rsidR="004F7049" w:rsidRDefault="004F7049">
      <w:pPr>
        <w:pStyle w:val="TOC1"/>
        <w:tabs>
          <w:tab w:val="right" w:leader="dot" w:pos="8630"/>
        </w:tabs>
        <w:rPr>
          <w:rStyle w:val="Hyperlink"/>
          <w:noProof/>
          <w:sz w:val="28"/>
          <w:szCs w:val="28"/>
        </w:rPr>
      </w:pPr>
    </w:p>
    <w:p w:rsidR="004F7049" w:rsidRDefault="004F7049">
      <w:pPr>
        <w:pStyle w:val="TOC1"/>
        <w:tabs>
          <w:tab w:val="right" w:leader="dot" w:pos="8630"/>
        </w:tabs>
        <w:rPr>
          <w:rStyle w:val="Hyperlink"/>
          <w:noProof/>
          <w:sz w:val="28"/>
          <w:szCs w:val="28"/>
        </w:rPr>
      </w:pPr>
    </w:p>
    <w:p w:rsidR="004F7049" w:rsidRDefault="004F7049">
      <w:pPr>
        <w:pStyle w:val="TOC1"/>
        <w:tabs>
          <w:tab w:val="right" w:leader="dot" w:pos="8630"/>
        </w:tabs>
        <w:rPr>
          <w:noProof/>
          <w:sz w:val="28"/>
          <w:szCs w:val="28"/>
        </w:rPr>
      </w:pPr>
      <w:hyperlink w:anchor="_Toc222647834" w:history="1">
        <w:r>
          <w:rPr>
            <w:rStyle w:val="Hyperlink"/>
            <w:rFonts w:ascii="Arial" w:hAnsi="Arial" w:cs="Arial"/>
            <w:b/>
            <w:bCs/>
            <w:noProof/>
            <w:sz w:val="28"/>
            <w:szCs w:val="28"/>
          </w:rPr>
          <w:t>Part II – Program Plan Schedules</w:t>
        </w:r>
        <w:r>
          <w:rPr>
            <w:noProof/>
            <w:webHidden/>
            <w:sz w:val="28"/>
            <w:szCs w:val="28"/>
          </w:rPr>
          <w:tab/>
        </w:r>
        <w:r>
          <w:rPr>
            <w:noProof/>
            <w:webHidden/>
            <w:sz w:val="28"/>
            <w:szCs w:val="28"/>
          </w:rPr>
          <w:fldChar w:fldCharType="begin"/>
        </w:r>
        <w:r>
          <w:rPr>
            <w:noProof/>
            <w:webHidden/>
            <w:sz w:val="28"/>
            <w:szCs w:val="28"/>
          </w:rPr>
          <w:instrText xml:space="preserve"> PAGEREF _Toc222647834 \h </w:instrText>
        </w:r>
        <w:r>
          <w:rPr>
            <w:noProof/>
            <w:sz w:val="28"/>
            <w:szCs w:val="28"/>
          </w:rPr>
        </w:r>
        <w:r>
          <w:rPr>
            <w:noProof/>
            <w:webHidden/>
            <w:sz w:val="28"/>
            <w:szCs w:val="28"/>
          </w:rPr>
          <w:fldChar w:fldCharType="separate"/>
        </w:r>
        <w:r w:rsidR="00E232F6">
          <w:rPr>
            <w:noProof/>
            <w:webHidden/>
            <w:sz w:val="28"/>
            <w:szCs w:val="28"/>
          </w:rPr>
          <w:t>7</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35" w:history="1">
        <w:r>
          <w:rPr>
            <w:rStyle w:val="Hyperlink"/>
            <w:rFonts w:ascii="Arial" w:hAnsi="Arial"/>
            <w:b/>
            <w:noProof/>
            <w:sz w:val="28"/>
            <w:szCs w:val="28"/>
          </w:rPr>
          <w:t>A. Range of Production and Injection Rates</w:t>
        </w:r>
        <w:r>
          <w:rPr>
            <w:noProof/>
            <w:webHidden/>
            <w:sz w:val="28"/>
            <w:szCs w:val="28"/>
          </w:rPr>
          <w:tab/>
        </w:r>
        <w:r>
          <w:rPr>
            <w:noProof/>
            <w:webHidden/>
            <w:sz w:val="28"/>
            <w:szCs w:val="28"/>
          </w:rPr>
          <w:fldChar w:fldCharType="begin"/>
        </w:r>
        <w:r>
          <w:rPr>
            <w:noProof/>
            <w:webHidden/>
            <w:sz w:val="28"/>
            <w:szCs w:val="28"/>
          </w:rPr>
          <w:instrText xml:space="preserve"> PAGEREF _Toc222647835 \h </w:instrText>
        </w:r>
        <w:r>
          <w:rPr>
            <w:noProof/>
            <w:sz w:val="28"/>
            <w:szCs w:val="28"/>
          </w:rPr>
        </w:r>
        <w:r>
          <w:rPr>
            <w:noProof/>
            <w:webHidden/>
            <w:sz w:val="28"/>
            <w:szCs w:val="28"/>
          </w:rPr>
          <w:fldChar w:fldCharType="separate"/>
        </w:r>
        <w:r w:rsidR="00E232F6">
          <w:rPr>
            <w:noProof/>
            <w:webHidden/>
            <w:sz w:val="28"/>
            <w:szCs w:val="28"/>
          </w:rPr>
          <w:t>7</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36" w:history="1">
        <w:r>
          <w:rPr>
            <w:rStyle w:val="Hyperlink"/>
            <w:rFonts w:ascii="Arial" w:hAnsi="Arial"/>
            <w:b/>
            <w:noProof/>
            <w:sz w:val="28"/>
            <w:szCs w:val="28"/>
          </w:rPr>
          <w:t>B. Anticipated Development and Replacement Locations</w:t>
        </w:r>
        <w:r>
          <w:rPr>
            <w:noProof/>
            <w:webHidden/>
            <w:sz w:val="28"/>
            <w:szCs w:val="28"/>
          </w:rPr>
          <w:tab/>
        </w:r>
        <w:r>
          <w:rPr>
            <w:noProof/>
            <w:webHidden/>
            <w:sz w:val="28"/>
            <w:szCs w:val="28"/>
          </w:rPr>
          <w:fldChar w:fldCharType="begin"/>
        </w:r>
        <w:r>
          <w:rPr>
            <w:noProof/>
            <w:webHidden/>
            <w:sz w:val="28"/>
            <w:szCs w:val="28"/>
          </w:rPr>
          <w:instrText xml:space="preserve"> PAGEREF _Toc222647836 \h </w:instrText>
        </w:r>
        <w:r>
          <w:rPr>
            <w:noProof/>
            <w:sz w:val="28"/>
            <w:szCs w:val="28"/>
          </w:rPr>
        </w:r>
        <w:r>
          <w:rPr>
            <w:noProof/>
            <w:webHidden/>
            <w:sz w:val="28"/>
            <w:szCs w:val="28"/>
          </w:rPr>
          <w:fldChar w:fldCharType="separate"/>
        </w:r>
        <w:r w:rsidR="00E232F6">
          <w:rPr>
            <w:noProof/>
            <w:webHidden/>
            <w:sz w:val="28"/>
            <w:szCs w:val="28"/>
          </w:rPr>
          <w:t>8</w:t>
        </w:r>
        <w:r>
          <w:rPr>
            <w:noProof/>
            <w:webHidden/>
            <w:sz w:val="28"/>
            <w:szCs w:val="28"/>
          </w:rPr>
          <w:fldChar w:fldCharType="end"/>
        </w:r>
      </w:hyperlink>
    </w:p>
    <w:p w:rsidR="004F7049" w:rsidRDefault="004F7049">
      <w:pPr>
        <w:pStyle w:val="TOC1"/>
        <w:tabs>
          <w:tab w:val="right" w:leader="dot" w:pos="8630"/>
        </w:tabs>
        <w:rPr>
          <w:rStyle w:val="Hyperlink"/>
          <w:noProof/>
          <w:sz w:val="28"/>
          <w:szCs w:val="28"/>
        </w:rPr>
      </w:pPr>
    </w:p>
    <w:p w:rsidR="004F7049" w:rsidRDefault="004F7049">
      <w:pPr>
        <w:pStyle w:val="TOC1"/>
        <w:tabs>
          <w:tab w:val="right" w:leader="dot" w:pos="8630"/>
        </w:tabs>
        <w:rPr>
          <w:rStyle w:val="Hyperlink"/>
          <w:noProof/>
          <w:sz w:val="28"/>
          <w:szCs w:val="28"/>
        </w:rPr>
      </w:pPr>
    </w:p>
    <w:p w:rsidR="004F7049" w:rsidRDefault="004F7049">
      <w:pPr>
        <w:pStyle w:val="TOC1"/>
        <w:tabs>
          <w:tab w:val="right" w:leader="dot" w:pos="8630"/>
        </w:tabs>
        <w:rPr>
          <w:noProof/>
          <w:sz w:val="28"/>
          <w:szCs w:val="28"/>
        </w:rPr>
      </w:pPr>
      <w:hyperlink w:anchor="_Toc222647837" w:history="1">
        <w:r>
          <w:rPr>
            <w:rStyle w:val="Hyperlink"/>
            <w:rFonts w:ascii="Arial" w:hAnsi="Arial" w:cs="Arial"/>
            <w:b/>
            <w:bCs/>
            <w:noProof/>
            <w:sz w:val="28"/>
            <w:szCs w:val="28"/>
          </w:rPr>
          <w:t>Part III – Itemized Budget Expenditures</w:t>
        </w:r>
        <w:r>
          <w:rPr>
            <w:noProof/>
            <w:webHidden/>
            <w:sz w:val="28"/>
            <w:szCs w:val="28"/>
          </w:rPr>
          <w:tab/>
        </w:r>
        <w:r>
          <w:rPr>
            <w:noProof/>
            <w:webHidden/>
            <w:sz w:val="28"/>
            <w:szCs w:val="28"/>
          </w:rPr>
          <w:fldChar w:fldCharType="begin"/>
        </w:r>
        <w:r>
          <w:rPr>
            <w:noProof/>
            <w:webHidden/>
            <w:sz w:val="28"/>
            <w:szCs w:val="28"/>
          </w:rPr>
          <w:instrText xml:space="preserve"> PAGEREF _Toc222647837 \h </w:instrText>
        </w:r>
        <w:r>
          <w:rPr>
            <w:noProof/>
            <w:sz w:val="28"/>
            <w:szCs w:val="28"/>
          </w:rPr>
        </w:r>
        <w:r>
          <w:rPr>
            <w:noProof/>
            <w:webHidden/>
            <w:sz w:val="28"/>
            <w:szCs w:val="28"/>
          </w:rPr>
          <w:fldChar w:fldCharType="separate"/>
        </w:r>
        <w:r w:rsidR="00E232F6">
          <w:rPr>
            <w:noProof/>
            <w:webHidden/>
            <w:sz w:val="28"/>
            <w:szCs w:val="28"/>
          </w:rPr>
          <w:t>9</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38" w:history="1">
        <w:r>
          <w:rPr>
            <w:rStyle w:val="Hyperlink"/>
            <w:rFonts w:ascii="Arial" w:hAnsi="Arial"/>
            <w:b/>
            <w:noProof/>
            <w:sz w:val="28"/>
            <w:szCs w:val="28"/>
          </w:rPr>
          <w:t>A. Development Drilling</w:t>
        </w:r>
        <w:r>
          <w:rPr>
            <w:noProof/>
            <w:webHidden/>
            <w:sz w:val="28"/>
            <w:szCs w:val="28"/>
          </w:rPr>
          <w:tab/>
        </w:r>
        <w:r>
          <w:rPr>
            <w:noProof/>
            <w:webHidden/>
            <w:sz w:val="28"/>
            <w:szCs w:val="28"/>
          </w:rPr>
          <w:fldChar w:fldCharType="begin"/>
        </w:r>
        <w:r>
          <w:rPr>
            <w:noProof/>
            <w:webHidden/>
            <w:sz w:val="28"/>
            <w:szCs w:val="28"/>
          </w:rPr>
          <w:instrText xml:space="preserve"> PAGEREF _Toc222647838 \h </w:instrText>
        </w:r>
        <w:r>
          <w:rPr>
            <w:noProof/>
            <w:sz w:val="28"/>
            <w:szCs w:val="28"/>
          </w:rPr>
        </w:r>
        <w:r>
          <w:rPr>
            <w:noProof/>
            <w:webHidden/>
            <w:sz w:val="28"/>
            <w:szCs w:val="28"/>
          </w:rPr>
          <w:fldChar w:fldCharType="separate"/>
        </w:r>
        <w:r w:rsidR="00E232F6">
          <w:rPr>
            <w:noProof/>
            <w:webHidden/>
            <w:sz w:val="28"/>
            <w:szCs w:val="28"/>
          </w:rPr>
          <w:t>9</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39" w:history="1">
        <w:r>
          <w:rPr>
            <w:rStyle w:val="Hyperlink"/>
            <w:rFonts w:ascii="Arial" w:hAnsi="Arial"/>
            <w:b/>
            <w:noProof/>
            <w:sz w:val="28"/>
            <w:szCs w:val="28"/>
          </w:rPr>
          <w:t>B. Operating Expense</w:t>
        </w:r>
        <w:r>
          <w:rPr>
            <w:noProof/>
            <w:webHidden/>
            <w:sz w:val="28"/>
            <w:szCs w:val="28"/>
          </w:rPr>
          <w:tab/>
        </w:r>
        <w:r>
          <w:rPr>
            <w:noProof/>
            <w:webHidden/>
            <w:sz w:val="28"/>
            <w:szCs w:val="28"/>
          </w:rPr>
          <w:fldChar w:fldCharType="begin"/>
        </w:r>
        <w:r>
          <w:rPr>
            <w:noProof/>
            <w:webHidden/>
            <w:sz w:val="28"/>
            <w:szCs w:val="28"/>
          </w:rPr>
          <w:instrText xml:space="preserve"> PAGEREF _Toc222647839 \h </w:instrText>
        </w:r>
        <w:r>
          <w:rPr>
            <w:noProof/>
            <w:sz w:val="28"/>
            <w:szCs w:val="28"/>
          </w:rPr>
        </w:r>
        <w:r>
          <w:rPr>
            <w:noProof/>
            <w:webHidden/>
            <w:sz w:val="28"/>
            <w:szCs w:val="28"/>
          </w:rPr>
          <w:fldChar w:fldCharType="separate"/>
        </w:r>
        <w:r w:rsidR="00E232F6">
          <w:rPr>
            <w:noProof/>
            <w:webHidden/>
            <w:sz w:val="28"/>
            <w:szCs w:val="28"/>
          </w:rPr>
          <w:t>9</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40" w:history="1">
        <w:r>
          <w:rPr>
            <w:rStyle w:val="Hyperlink"/>
            <w:rFonts w:ascii="Arial" w:hAnsi="Arial"/>
            <w:b/>
            <w:noProof/>
            <w:sz w:val="28"/>
            <w:szCs w:val="28"/>
          </w:rPr>
          <w:t>C. Facilities, Maintenance, and Plant</w:t>
        </w:r>
        <w:r>
          <w:rPr>
            <w:noProof/>
            <w:webHidden/>
            <w:sz w:val="28"/>
            <w:szCs w:val="28"/>
          </w:rPr>
          <w:tab/>
        </w:r>
        <w:r>
          <w:rPr>
            <w:noProof/>
            <w:webHidden/>
            <w:sz w:val="28"/>
            <w:szCs w:val="28"/>
          </w:rPr>
          <w:fldChar w:fldCharType="begin"/>
        </w:r>
        <w:r>
          <w:rPr>
            <w:noProof/>
            <w:webHidden/>
            <w:sz w:val="28"/>
            <w:szCs w:val="28"/>
          </w:rPr>
          <w:instrText xml:space="preserve"> PAGEREF _Toc222647840 \h </w:instrText>
        </w:r>
        <w:r>
          <w:rPr>
            <w:noProof/>
            <w:sz w:val="28"/>
            <w:szCs w:val="28"/>
          </w:rPr>
        </w:r>
        <w:r>
          <w:rPr>
            <w:noProof/>
            <w:webHidden/>
            <w:sz w:val="28"/>
            <w:szCs w:val="28"/>
          </w:rPr>
          <w:fldChar w:fldCharType="separate"/>
        </w:r>
        <w:r w:rsidR="00E232F6">
          <w:rPr>
            <w:noProof/>
            <w:webHidden/>
            <w:sz w:val="28"/>
            <w:szCs w:val="28"/>
          </w:rPr>
          <w:t>10</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41" w:history="1">
        <w:r>
          <w:rPr>
            <w:rStyle w:val="Hyperlink"/>
            <w:rFonts w:ascii="Arial" w:hAnsi="Arial"/>
            <w:b/>
            <w:noProof/>
            <w:sz w:val="28"/>
            <w:szCs w:val="28"/>
          </w:rPr>
          <w:t>D. Unit Field Labor and Administrative</w:t>
        </w:r>
        <w:r>
          <w:rPr>
            <w:noProof/>
            <w:webHidden/>
            <w:sz w:val="28"/>
            <w:szCs w:val="28"/>
          </w:rPr>
          <w:tab/>
        </w:r>
        <w:r>
          <w:rPr>
            <w:noProof/>
            <w:webHidden/>
            <w:sz w:val="28"/>
            <w:szCs w:val="28"/>
          </w:rPr>
          <w:fldChar w:fldCharType="begin"/>
        </w:r>
        <w:r>
          <w:rPr>
            <w:noProof/>
            <w:webHidden/>
            <w:sz w:val="28"/>
            <w:szCs w:val="28"/>
          </w:rPr>
          <w:instrText xml:space="preserve"> PAGEREF _Toc222647841 \h </w:instrText>
        </w:r>
        <w:r>
          <w:rPr>
            <w:noProof/>
            <w:sz w:val="28"/>
            <w:szCs w:val="28"/>
          </w:rPr>
        </w:r>
        <w:r>
          <w:rPr>
            <w:noProof/>
            <w:webHidden/>
            <w:sz w:val="28"/>
            <w:szCs w:val="28"/>
          </w:rPr>
          <w:fldChar w:fldCharType="separate"/>
        </w:r>
        <w:r w:rsidR="00E232F6">
          <w:rPr>
            <w:noProof/>
            <w:webHidden/>
            <w:sz w:val="28"/>
            <w:szCs w:val="28"/>
          </w:rPr>
          <w:t>10</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42" w:history="1">
        <w:r>
          <w:rPr>
            <w:rStyle w:val="Hyperlink"/>
            <w:rFonts w:ascii="Arial" w:hAnsi="Arial"/>
            <w:b/>
            <w:noProof/>
            <w:sz w:val="28"/>
            <w:szCs w:val="28"/>
          </w:rPr>
          <w:t>E. Taxes, Permits, and Administrative Overhead</w:t>
        </w:r>
        <w:r>
          <w:rPr>
            <w:noProof/>
            <w:webHidden/>
            <w:sz w:val="28"/>
            <w:szCs w:val="28"/>
          </w:rPr>
          <w:tab/>
        </w:r>
        <w:r>
          <w:rPr>
            <w:noProof/>
            <w:webHidden/>
            <w:sz w:val="28"/>
            <w:szCs w:val="28"/>
          </w:rPr>
          <w:fldChar w:fldCharType="begin"/>
        </w:r>
        <w:r>
          <w:rPr>
            <w:noProof/>
            <w:webHidden/>
            <w:sz w:val="28"/>
            <w:szCs w:val="28"/>
          </w:rPr>
          <w:instrText xml:space="preserve"> PAGEREF _Toc222647842 \h </w:instrText>
        </w:r>
        <w:r>
          <w:rPr>
            <w:noProof/>
            <w:sz w:val="28"/>
            <w:szCs w:val="28"/>
          </w:rPr>
        </w:r>
        <w:r>
          <w:rPr>
            <w:noProof/>
            <w:webHidden/>
            <w:sz w:val="28"/>
            <w:szCs w:val="28"/>
          </w:rPr>
          <w:fldChar w:fldCharType="separate"/>
        </w:r>
        <w:r w:rsidR="00E232F6">
          <w:rPr>
            <w:noProof/>
            <w:webHidden/>
            <w:sz w:val="28"/>
            <w:szCs w:val="28"/>
          </w:rPr>
          <w:t>11</w:t>
        </w:r>
        <w:r>
          <w:rPr>
            <w:noProof/>
            <w:webHidden/>
            <w:sz w:val="28"/>
            <w:szCs w:val="28"/>
          </w:rPr>
          <w:fldChar w:fldCharType="end"/>
        </w:r>
      </w:hyperlink>
    </w:p>
    <w:p w:rsidR="004F7049" w:rsidRDefault="004F7049">
      <w:pPr>
        <w:pStyle w:val="TOC1"/>
        <w:tabs>
          <w:tab w:val="right" w:leader="dot" w:pos="8630"/>
        </w:tabs>
        <w:rPr>
          <w:rStyle w:val="Hyperlink"/>
          <w:noProof/>
          <w:sz w:val="28"/>
          <w:szCs w:val="28"/>
        </w:rPr>
      </w:pPr>
    </w:p>
    <w:p w:rsidR="004F7049" w:rsidRDefault="004F7049">
      <w:pPr>
        <w:pStyle w:val="TOC1"/>
        <w:tabs>
          <w:tab w:val="right" w:leader="dot" w:pos="8630"/>
        </w:tabs>
        <w:rPr>
          <w:rStyle w:val="Hyperlink"/>
          <w:noProof/>
          <w:sz w:val="28"/>
          <w:szCs w:val="28"/>
        </w:rPr>
      </w:pPr>
    </w:p>
    <w:p w:rsidR="004F7049" w:rsidRDefault="004F7049">
      <w:pPr>
        <w:pStyle w:val="TOC1"/>
        <w:tabs>
          <w:tab w:val="right" w:leader="dot" w:pos="8630"/>
        </w:tabs>
        <w:rPr>
          <w:noProof/>
          <w:sz w:val="28"/>
          <w:szCs w:val="28"/>
        </w:rPr>
      </w:pPr>
      <w:hyperlink w:anchor="_Toc222647843" w:history="1">
        <w:r>
          <w:rPr>
            <w:rStyle w:val="Hyperlink"/>
            <w:rFonts w:ascii="Arial" w:hAnsi="Arial" w:cs="Arial"/>
            <w:b/>
            <w:bCs/>
            <w:noProof/>
            <w:sz w:val="28"/>
            <w:szCs w:val="28"/>
          </w:rPr>
          <w:t>PART IV - Definitions</w:t>
        </w:r>
        <w:r>
          <w:rPr>
            <w:noProof/>
            <w:webHidden/>
            <w:sz w:val="28"/>
            <w:szCs w:val="28"/>
          </w:rPr>
          <w:tab/>
        </w:r>
        <w:r>
          <w:rPr>
            <w:noProof/>
            <w:webHidden/>
            <w:sz w:val="28"/>
            <w:szCs w:val="28"/>
          </w:rPr>
          <w:fldChar w:fldCharType="begin"/>
        </w:r>
        <w:r>
          <w:rPr>
            <w:noProof/>
            <w:webHidden/>
            <w:sz w:val="28"/>
            <w:szCs w:val="28"/>
          </w:rPr>
          <w:instrText xml:space="preserve"> PAGEREF _Toc222647843 \h </w:instrText>
        </w:r>
        <w:r>
          <w:rPr>
            <w:noProof/>
            <w:sz w:val="28"/>
            <w:szCs w:val="28"/>
          </w:rPr>
        </w:r>
        <w:r>
          <w:rPr>
            <w:noProof/>
            <w:webHidden/>
            <w:sz w:val="28"/>
            <w:szCs w:val="28"/>
          </w:rPr>
          <w:fldChar w:fldCharType="separate"/>
        </w:r>
        <w:r w:rsidR="00E232F6">
          <w:rPr>
            <w:noProof/>
            <w:webHidden/>
            <w:sz w:val="28"/>
            <w:szCs w:val="28"/>
          </w:rPr>
          <w:t>12</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44" w:history="1">
        <w:r>
          <w:rPr>
            <w:rStyle w:val="Hyperlink"/>
            <w:rFonts w:ascii="Arial" w:hAnsi="Arial"/>
            <w:b/>
            <w:noProof/>
            <w:sz w:val="28"/>
            <w:szCs w:val="28"/>
          </w:rPr>
          <w:t>A. Modifications</w:t>
        </w:r>
        <w:r>
          <w:rPr>
            <w:noProof/>
            <w:webHidden/>
            <w:sz w:val="28"/>
            <w:szCs w:val="28"/>
          </w:rPr>
          <w:tab/>
        </w:r>
        <w:r>
          <w:rPr>
            <w:noProof/>
            <w:webHidden/>
            <w:sz w:val="28"/>
            <w:szCs w:val="28"/>
          </w:rPr>
          <w:fldChar w:fldCharType="begin"/>
        </w:r>
        <w:r>
          <w:rPr>
            <w:noProof/>
            <w:webHidden/>
            <w:sz w:val="28"/>
            <w:szCs w:val="28"/>
          </w:rPr>
          <w:instrText xml:space="preserve"> PAGEREF _Toc222647844 \h </w:instrText>
        </w:r>
        <w:r>
          <w:rPr>
            <w:noProof/>
            <w:sz w:val="28"/>
            <w:szCs w:val="28"/>
          </w:rPr>
        </w:r>
        <w:r>
          <w:rPr>
            <w:noProof/>
            <w:webHidden/>
            <w:sz w:val="28"/>
            <w:szCs w:val="28"/>
          </w:rPr>
          <w:fldChar w:fldCharType="separate"/>
        </w:r>
        <w:r w:rsidR="00E232F6">
          <w:rPr>
            <w:noProof/>
            <w:webHidden/>
            <w:sz w:val="28"/>
            <w:szCs w:val="28"/>
          </w:rPr>
          <w:t>12</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45" w:history="1">
        <w:r>
          <w:rPr>
            <w:rStyle w:val="Hyperlink"/>
            <w:rFonts w:ascii="Arial" w:hAnsi="Arial"/>
            <w:b/>
            <w:noProof/>
            <w:sz w:val="28"/>
            <w:szCs w:val="28"/>
          </w:rPr>
          <w:t>B. Supplements</w:t>
        </w:r>
        <w:r>
          <w:rPr>
            <w:noProof/>
            <w:webHidden/>
            <w:sz w:val="28"/>
            <w:szCs w:val="28"/>
          </w:rPr>
          <w:tab/>
        </w:r>
        <w:r>
          <w:rPr>
            <w:noProof/>
            <w:webHidden/>
            <w:sz w:val="28"/>
            <w:szCs w:val="28"/>
          </w:rPr>
          <w:fldChar w:fldCharType="begin"/>
        </w:r>
        <w:r>
          <w:rPr>
            <w:noProof/>
            <w:webHidden/>
            <w:sz w:val="28"/>
            <w:szCs w:val="28"/>
          </w:rPr>
          <w:instrText xml:space="preserve"> PAGEREF _Toc222647845 \h </w:instrText>
        </w:r>
        <w:r>
          <w:rPr>
            <w:noProof/>
            <w:sz w:val="28"/>
            <w:szCs w:val="28"/>
          </w:rPr>
        </w:r>
        <w:r>
          <w:rPr>
            <w:noProof/>
            <w:webHidden/>
            <w:sz w:val="28"/>
            <w:szCs w:val="28"/>
          </w:rPr>
          <w:fldChar w:fldCharType="separate"/>
        </w:r>
        <w:r w:rsidR="00E232F6">
          <w:rPr>
            <w:noProof/>
            <w:webHidden/>
            <w:sz w:val="28"/>
            <w:szCs w:val="28"/>
          </w:rPr>
          <w:t>12</w:t>
        </w:r>
        <w:r>
          <w:rPr>
            <w:noProof/>
            <w:webHidden/>
            <w:sz w:val="28"/>
            <w:szCs w:val="28"/>
          </w:rPr>
          <w:fldChar w:fldCharType="end"/>
        </w:r>
      </w:hyperlink>
    </w:p>
    <w:p w:rsidR="004F7049" w:rsidRDefault="004F7049">
      <w:pPr>
        <w:pStyle w:val="TOC2"/>
        <w:tabs>
          <w:tab w:val="right" w:leader="dot" w:pos="8630"/>
        </w:tabs>
        <w:rPr>
          <w:noProof/>
          <w:sz w:val="28"/>
          <w:szCs w:val="28"/>
        </w:rPr>
      </w:pPr>
      <w:hyperlink w:anchor="_Toc222647846" w:history="1">
        <w:r>
          <w:rPr>
            <w:rStyle w:val="Hyperlink"/>
            <w:rFonts w:ascii="Arial" w:hAnsi="Arial"/>
            <w:b/>
            <w:noProof/>
            <w:sz w:val="28"/>
            <w:szCs w:val="28"/>
          </w:rPr>
          <w:t>C. Final Report and Closing Statement</w:t>
        </w:r>
        <w:r>
          <w:rPr>
            <w:noProof/>
            <w:webHidden/>
            <w:sz w:val="28"/>
            <w:szCs w:val="28"/>
          </w:rPr>
          <w:tab/>
        </w:r>
        <w:r>
          <w:rPr>
            <w:noProof/>
            <w:webHidden/>
            <w:sz w:val="28"/>
            <w:szCs w:val="28"/>
          </w:rPr>
          <w:fldChar w:fldCharType="begin"/>
        </w:r>
        <w:r>
          <w:rPr>
            <w:noProof/>
            <w:webHidden/>
            <w:sz w:val="28"/>
            <w:szCs w:val="28"/>
          </w:rPr>
          <w:instrText xml:space="preserve"> PAGEREF _Toc222647846 \h </w:instrText>
        </w:r>
        <w:r>
          <w:rPr>
            <w:noProof/>
            <w:sz w:val="28"/>
            <w:szCs w:val="28"/>
          </w:rPr>
        </w:r>
        <w:r>
          <w:rPr>
            <w:noProof/>
            <w:webHidden/>
            <w:sz w:val="28"/>
            <w:szCs w:val="28"/>
          </w:rPr>
          <w:fldChar w:fldCharType="separate"/>
        </w:r>
        <w:r w:rsidR="00E232F6">
          <w:rPr>
            <w:noProof/>
            <w:webHidden/>
            <w:sz w:val="28"/>
            <w:szCs w:val="28"/>
          </w:rPr>
          <w:t>13</w:t>
        </w:r>
        <w:r>
          <w:rPr>
            <w:noProof/>
            <w:webHidden/>
            <w:sz w:val="28"/>
            <w:szCs w:val="28"/>
          </w:rPr>
          <w:fldChar w:fldCharType="end"/>
        </w:r>
      </w:hyperlink>
    </w:p>
    <w:p w:rsidR="004F7049" w:rsidRDefault="004F7049">
      <w:pPr>
        <w:rPr>
          <w:color w:val="000000"/>
          <w:sz w:val="28"/>
        </w:rPr>
      </w:pPr>
      <w:r>
        <w:rPr>
          <w:rFonts w:ascii="Arial" w:hAnsi="Arial"/>
          <w:color w:val="000000"/>
          <w:sz w:val="28"/>
          <w:szCs w:val="28"/>
        </w:rPr>
        <w:fldChar w:fldCharType="end"/>
      </w:r>
    </w:p>
    <w:p w:rsidR="004F7049" w:rsidRDefault="004F7049">
      <w:pPr>
        <w:pStyle w:val="Heading1"/>
        <w:jc w:val="center"/>
        <w:rPr>
          <w:rFonts w:ascii="Arial" w:hAnsi="Arial" w:cs="Arial"/>
          <w:b/>
          <w:bCs/>
          <w:sz w:val="36"/>
          <w:szCs w:val="36"/>
        </w:rPr>
      </w:pPr>
      <w:r>
        <w:rPr>
          <w:sz w:val="28"/>
        </w:rPr>
        <w:br w:type="page"/>
      </w:r>
      <w:bookmarkStart w:id="0" w:name="_Toc222647830"/>
      <w:r>
        <w:rPr>
          <w:rFonts w:ascii="Arial" w:hAnsi="Arial" w:cs="Arial"/>
          <w:b/>
          <w:bCs/>
          <w:sz w:val="36"/>
          <w:szCs w:val="36"/>
        </w:rPr>
        <w:lastRenderedPageBreak/>
        <w:t>Part I - Introduction</w:t>
      </w:r>
      <w:bookmarkEnd w:id="0"/>
    </w:p>
    <w:p w:rsidR="004F7049" w:rsidRDefault="004F7049">
      <w:pPr>
        <w:jc w:val="center"/>
        <w:rPr>
          <w:rFonts w:ascii="Arial" w:hAnsi="Arial"/>
          <w:b/>
          <w:color w:val="000000"/>
          <w:sz w:val="36"/>
        </w:rPr>
      </w:pPr>
    </w:p>
    <w:p w:rsidR="004F7049" w:rsidRDefault="004F7049">
      <w:pPr>
        <w:pStyle w:val="BodyText2"/>
        <w:jc w:val="center"/>
        <w:outlineLvl w:val="0"/>
        <w:rPr>
          <w:b/>
          <w:color w:val="000000"/>
          <w:sz w:val="28"/>
        </w:rPr>
      </w:pPr>
    </w:p>
    <w:p w:rsidR="004F7049" w:rsidRDefault="004F7049">
      <w:pPr>
        <w:pStyle w:val="BodyText"/>
        <w:rPr>
          <w:rFonts w:ascii="Arial" w:hAnsi="Arial"/>
          <w:color w:val="000000"/>
          <w:sz w:val="24"/>
        </w:rPr>
      </w:pPr>
      <w:r>
        <w:rPr>
          <w:rFonts w:ascii="Arial" w:hAnsi="Arial"/>
          <w:color w:val="000000"/>
          <w:sz w:val="24"/>
        </w:rPr>
        <w:t>This Annual Plan (“Plan”) was developed to reflect anticipated activity levels during the fiscal period from July 1, 2009 through June 30, 2010 (“FY09/10”). It is being submitted as required by Section 5(a) of Chapter 138, Statutes of 1964, First Extraordinary Session, and as revised by passage of Assembly Bill 227 (Chapter 941, Statutes of 1991) and the Optimized Waterflood Program Agreement approved by the State of California, the City of Long Beach, and Atlantic Richfield Company, whose interest has been assigned to Occidental Petroleum Corporation.</w:t>
      </w:r>
    </w:p>
    <w:p w:rsidR="004F7049" w:rsidRDefault="004F7049">
      <w:pPr>
        <w:jc w:val="both"/>
        <w:rPr>
          <w:rFonts w:ascii="Arial" w:hAnsi="Arial"/>
          <w:color w:val="000000"/>
          <w:sz w:val="24"/>
        </w:rPr>
      </w:pPr>
    </w:p>
    <w:p w:rsidR="004F7049" w:rsidRDefault="004F7049">
      <w:pPr>
        <w:jc w:val="both"/>
        <w:rPr>
          <w:rFonts w:ascii="Arial" w:hAnsi="Arial"/>
          <w:color w:val="000000"/>
          <w:sz w:val="24"/>
        </w:rPr>
      </w:pPr>
      <w:r>
        <w:rPr>
          <w:rFonts w:ascii="Arial" w:hAnsi="Arial"/>
          <w:color w:val="000000"/>
          <w:sz w:val="24"/>
        </w:rPr>
        <w:t>This Plan provides for drilling, producing, water injection, and other associated activities from offshore and onshore locations. The budget for these activities is grouped into the following five major categories:</w:t>
      </w:r>
    </w:p>
    <w:p w:rsidR="004F7049" w:rsidRDefault="004F7049">
      <w:pPr>
        <w:jc w:val="both"/>
        <w:rPr>
          <w:color w:val="000000"/>
          <w:sz w:val="24"/>
        </w:rPr>
      </w:pPr>
    </w:p>
    <w:tbl>
      <w:tblPr>
        <w:tblW w:w="9090" w:type="dxa"/>
        <w:tblLayout w:type="fixed"/>
        <w:tblLook w:val="00BC"/>
      </w:tblPr>
      <w:tblGrid>
        <w:gridCol w:w="6930"/>
        <w:gridCol w:w="2160"/>
      </w:tblGrid>
      <w:tr w:rsidR="004F7049">
        <w:tblPrEx>
          <w:tblCellMar>
            <w:top w:w="0" w:type="dxa"/>
            <w:bottom w:w="0" w:type="dxa"/>
          </w:tblCellMar>
        </w:tblPrEx>
        <w:tc>
          <w:tcPr>
            <w:tcW w:w="6930" w:type="dxa"/>
          </w:tcPr>
          <w:p w:rsidR="004F7049" w:rsidRDefault="004F7049">
            <w:pPr>
              <w:rPr>
                <w:rFonts w:ascii="Arial" w:hAnsi="Arial"/>
                <w:b/>
                <w:color w:val="000000"/>
                <w:sz w:val="32"/>
              </w:rPr>
            </w:pPr>
          </w:p>
          <w:p w:rsidR="004F7049" w:rsidRDefault="004F7049">
            <w:pPr>
              <w:rPr>
                <w:rFonts w:ascii="Arial" w:hAnsi="Arial"/>
                <w:b/>
                <w:color w:val="000000"/>
                <w:sz w:val="32"/>
              </w:rPr>
            </w:pPr>
          </w:p>
          <w:p w:rsidR="004F7049" w:rsidRDefault="004F7049">
            <w:pPr>
              <w:rPr>
                <w:rFonts w:ascii="Arial" w:hAnsi="Arial"/>
                <w:b/>
                <w:color w:val="000000"/>
                <w:sz w:val="32"/>
              </w:rPr>
            </w:pPr>
            <w:r>
              <w:rPr>
                <w:rFonts w:ascii="Arial" w:hAnsi="Arial"/>
                <w:b/>
                <w:color w:val="000000"/>
                <w:sz w:val="32"/>
              </w:rPr>
              <w:t>Plan Category</w:t>
            </w:r>
          </w:p>
        </w:tc>
        <w:tc>
          <w:tcPr>
            <w:tcW w:w="2160" w:type="dxa"/>
          </w:tcPr>
          <w:p w:rsidR="004F7049" w:rsidRDefault="004F7049">
            <w:pPr>
              <w:jc w:val="center"/>
              <w:rPr>
                <w:rFonts w:ascii="Arial" w:hAnsi="Arial"/>
                <w:b/>
                <w:color w:val="000000"/>
                <w:sz w:val="32"/>
              </w:rPr>
            </w:pPr>
            <w:r>
              <w:rPr>
                <w:rFonts w:ascii="Arial" w:hAnsi="Arial"/>
                <w:b/>
                <w:color w:val="000000"/>
                <w:sz w:val="32"/>
              </w:rPr>
              <w:t>Fiscal Year</w:t>
            </w:r>
          </w:p>
          <w:p w:rsidR="004F7049" w:rsidRDefault="004F7049">
            <w:pPr>
              <w:jc w:val="center"/>
              <w:rPr>
                <w:rFonts w:ascii="Arial" w:hAnsi="Arial"/>
                <w:b/>
                <w:color w:val="000000"/>
                <w:sz w:val="32"/>
              </w:rPr>
            </w:pPr>
            <w:r>
              <w:rPr>
                <w:rFonts w:ascii="Arial" w:hAnsi="Arial"/>
                <w:b/>
                <w:color w:val="000000"/>
                <w:sz w:val="32"/>
              </w:rPr>
              <w:t>2009 – 2010</w:t>
            </w:r>
          </w:p>
          <w:p w:rsidR="004F7049" w:rsidRDefault="004F7049">
            <w:pPr>
              <w:jc w:val="center"/>
              <w:rPr>
                <w:rFonts w:ascii="Arial" w:hAnsi="Arial"/>
                <w:b/>
                <w:color w:val="000000"/>
                <w:sz w:val="32"/>
              </w:rPr>
            </w:pPr>
            <w:r>
              <w:rPr>
                <w:rFonts w:ascii="Arial" w:hAnsi="Arial"/>
                <w:b/>
                <w:color w:val="000000"/>
                <w:sz w:val="32"/>
              </w:rPr>
              <w:t>($ Million)</w:t>
            </w:r>
          </w:p>
        </w:tc>
      </w:tr>
      <w:tr w:rsidR="004F7049">
        <w:tblPrEx>
          <w:tblCellMar>
            <w:top w:w="0" w:type="dxa"/>
            <w:bottom w:w="0" w:type="dxa"/>
          </w:tblCellMar>
        </w:tblPrEx>
        <w:tc>
          <w:tcPr>
            <w:tcW w:w="6930" w:type="dxa"/>
          </w:tcPr>
          <w:p w:rsidR="004F7049" w:rsidRDefault="004F7049">
            <w:pPr>
              <w:jc w:val="both"/>
              <w:rPr>
                <w:rFonts w:ascii="Arial" w:hAnsi="Arial"/>
                <w:color w:val="000000"/>
                <w:sz w:val="32"/>
              </w:rPr>
            </w:pPr>
          </w:p>
          <w:p w:rsidR="004F7049" w:rsidRDefault="004F7049">
            <w:pPr>
              <w:jc w:val="both"/>
              <w:rPr>
                <w:rFonts w:ascii="Arial" w:hAnsi="Arial"/>
                <w:color w:val="000000"/>
                <w:sz w:val="32"/>
              </w:rPr>
            </w:pPr>
            <w:r>
              <w:rPr>
                <w:rFonts w:ascii="Arial" w:hAnsi="Arial"/>
                <w:color w:val="000000"/>
                <w:sz w:val="32"/>
              </w:rPr>
              <w:t>Development Drilling</w:t>
            </w:r>
          </w:p>
        </w:tc>
        <w:tc>
          <w:tcPr>
            <w:tcW w:w="2160" w:type="dxa"/>
          </w:tcPr>
          <w:p w:rsidR="004F7049" w:rsidRDefault="004F7049">
            <w:pPr>
              <w:jc w:val="right"/>
              <w:rPr>
                <w:rFonts w:ascii="Arial" w:hAnsi="Arial"/>
                <w:sz w:val="32"/>
              </w:rPr>
            </w:pPr>
          </w:p>
          <w:p w:rsidR="004F7049" w:rsidRDefault="004F7049">
            <w:pPr>
              <w:jc w:val="right"/>
              <w:rPr>
                <w:rFonts w:ascii="Arial" w:hAnsi="Arial"/>
                <w:sz w:val="32"/>
              </w:rPr>
            </w:pPr>
            <w:r>
              <w:rPr>
                <w:rFonts w:ascii="Arial" w:hAnsi="Arial"/>
                <w:sz w:val="32"/>
              </w:rPr>
              <w:tab/>
              <w:t>$ 74.0</w:t>
            </w:r>
          </w:p>
        </w:tc>
      </w:tr>
      <w:tr w:rsidR="004F7049">
        <w:tblPrEx>
          <w:tblCellMar>
            <w:top w:w="0" w:type="dxa"/>
            <w:bottom w:w="0" w:type="dxa"/>
          </w:tblCellMar>
        </w:tblPrEx>
        <w:tc>
          <w:tcPr>
            <w:tcW w:w="6930" w:type="dxa"/>
          </w:tcPr>
          <w:p w:rsidR="004F7049" w:rsidRDefault="004F7049">
            <w:pPr>
              <w:jc w:val="both"/>
              <w:rPr>
                <w:rFonts w:ascii="Arial" w:hAnsi="Arial"/>
                <w:color w:val="000000"/>
                <w:sz w:val="32"/>
              </w:rPr>
            </w:pPr>
          </w:p>
          <w:p w:rsidR="004F7049" w:rsidRDefault="004F7049">
            <w:pPr>
              <w:jc w:val="both"/>
              <w:rPr>
                <w:rFonts w:ascii="Arial" w:hAnsi="Arial"/>
                <w:color w:val="000000"/>
                <w:sz w:val="32"/>
              </w:rPr>
            </w:pPr>
            <w:r>
              <w:rPr>
                <w:rFonts w:ascii="Arial" w:hAnsi="Arial"/>
                <w:color w:val="000000"/>
                <w:sz w:val="32"/>
              </w:rPr>
              <w:t>Operating Expense</w:t>
            </w:r>
          </w:p>
        </w:tc>
        <w:tc>
          <w:tcPr>
            <w:tcW w:w="2160" w:type="dxa"/>
          </w:tcPr>
          <w:p w:rsidR="004F7049" w:rsidRDefault="004F7049">
            <w:pPr>
              <w:jc w:val="right"/>
              <w:rPr>
                <w:rFonts w:ascii="Arial" w:hAnsi="Arial"/>
                <w:sz w:val="32"/>
              </w:rPr>
            </w:pPr>
          </w:p>
          <w:p w:rsidR="004F7049" w:rsidRDefault="004F7049">
            <w:pPr>
              <w:jc w:val="right"/>
              <w:rPr>
                <w:rFonts w:ascii="Arial" w:hAnsi="Arial"/>
                <w:sz w:val="32"/>
              </w:rPr>
            </w:pPr>
            <w:r>
              <w:rPr>
                <w:rFonts w:ascii="Arial" w:hAnsi="Arial"/>
                <w:sz w:val="32"/>
              </w:rPr>
              <w:tab/>
              <w:t>$ 103.8</w:t>
            </w:r>
          </w:p>
        </w:tc>
      </w:tr>
      <w:tr w:rsidR="004F7049">
        <w:tblPrEx>
          <w:tblCellMar>
            <w:top w:w="0" w:type="dxa"/>
            <w:bottom w:w="0" w:type="dxa"/>
          </w:tblCellMar>
        </w:tblPrEx>
        <w:tc>
          <w:tcPr>
            <w:tcW w:w="6930" w:type="dxa"/>
          </w:tcPr>
          <w:p w:rsidR="004F7049" w:rsidRDefault="004F7049">
            <w:pPr>
              <w:jc w:val="both"/>
              <w:rPr>
                <w:rFonts w:ascii="Arial" w:hAnsi="Arial"/>
                <w:color w:val="000000"/>
                <w:sz w:val="32"/>
              </w:rPr>
            </w:pPr>
          </w:p>
          <w:p w:rsidR="004F7049" w:rsidRDefault="004F7049">
            <w:pPr>
              <w:jc w:val="both"/>
              <w:rPr>
                <w:rFonts w:ascii="Arial" w:hAnsi="Arial"/>
                <w:color w:val="000000"/>
                <w:sz w:val="32"/>
              </w:rPr>
            </w:pPr>
            <w:r>
              <w:rPr>
                <w:rFonts w:ascii="Arial" w:hAnsi="Arial"/>
                <w:color w:val="000000"/>
                <w:sz w:val="32"/>
              </w:rPr>
              <w:t>Facilities, Maintenance, and Plant</w:t>
            </w:r>
          </w:p>
        </w:tc>
        <w:tc>
          <w:tcPr>
            <w:tcW w:w="2160" w:type="dxa"/>
          </w:tcPr>
          <w:p w:rsidR="004F7049" w:rsidRDefault="004F7049">
            <w:pPr>
              <w:jc w:val="right"/>
              <w:rPr>
                <w:rFonts w:ascii="Arial" w:hAnsi="Arial"/>
                <w:sz w:val="32"/>
              </w:rPr>
            </w:pPr>
          </w:p>
          <w:p w:rsidR="004F7049" w:rsidRDefault="004F7049">
            <w:pPr>
              <w:jc w:val="right"/>
              <w:rPr>
                <w:rFonts w:ascii="Arial" w:hAnsi="Arial"/>
                <w:sz w:val="32"/>
              </w:rPr>
            </w:pPr>
            <w:r>
              <w:rPr>
                <w:rFonts w:ascii="Arial" w:hAnsi="Arial"/>
                <w:sz w:val="32"/>
              </w:rPr>
              <w:tab/>
              <w:t>$ 77.6</w:t>
            </w:r>
          </w:p>
        </w:tc>
      </w:tr>
      <w:tr w:rsidR="004F7049">
        <w:tblPrEx>
          <w:tblCellMar>
            <w:top w:w="0" w:type="dxa"/>
            <w:bottom w:w="0" w:type="dxa"/>
          </w:tblCellMar>
        </w:tblPrEx>
        <w:tc>
          <w:tcPr>
            <w:tcW w:w="6930" w:type="dxa"/>
          </w:tcPr>
          <w:p w:rsidR="004F7049" w:rsidRDefault="004F7049">
            <w:pPr>
              <w:jc w:val="both"/>
              <w:rPr>
                <w:rFonts w:ascii="Arial" w:hAnsi="Arial"/>
                <w:color w:val="000000"/>
                <w:sz w:val="32"/>
              </w:rPr>
            </w:pPr>
          </w:p>
          <w:p w:rsidR="004F7049" w:rsidRDefault="004F7049">
            <w:pPr>
              <w:jc w:val="both"/>
              <w:rPr>
                <w:rFonts w:ascii="Arial" w:hAnsi="Arial"/>
                <w:color w:val="000000"/>
                <w:sz w:val="32"/>
              </w:rPr>
            </w:pPr>
            <w:r>
              <w:rPr>
                <w:rFonts w:ascii="Arial" w:hAnsi="Arial"/>
                <w:color w:val="000000"/>
                <w:sz w:val="32"/>
              </w:rPr>
              <w:t>Unit Field Labor and Administrative</w:t>
            </w:r>
          </w:p>
        </w:tc>
        <w:tc>
          <w:tcPr>
            <w:tcW w:w="2160" w:type="dxa"/>
          </w:tcPr>
          <w:p w:rsidR="004F7049" w:rsidRDefault="004F7049">
            <w:pPr>
              <w:jc w:val="right"/>
              <w:rPr>
                <w:rFonts w:ascii="Arial" w:hAnsi="Arial"/>
                <w:sz w:val="32"/>
              </w:rPr>
            </w:pPr>
          </w:p>
          <w:p w:rsidR="004F7049" w:rsidRDefault="004F7049">
            <w:pPr>
              <w:jc w:val="right"/>
              <w:rPr>
                <w:rFonts w:ascii="Arial" w:hAnsi="Arial"/>
                <w:sz w:val="32"/>
              </w:rPr>
            </w:pPr>
            <w:r>
              <w:rPr>
                <w:rFonts w:ascii="Arial" w:hAnsi="Arial"/>
                <w:sz w:val="32"/>
              </w:rPr>
              <w:tab/>
              <w:t>$  52.8</w:t>
            </w:r>
          </w:p>
        </w:tc>
      </w:tr>
      <w:tr w:rsidR="004F7049">
        <w:tblPrEx>
          <w:tblCellMar>
            <w:top w:w="0" w:type="dxa"/>
            <w:bottom w:w="0" w:type="dxa"/>
          </w:tblCellMar>
        </w:tblPrEx>
        <w:tc>
          <w:tcPr>
            <w:tcW w:w="6930" w:type="dxa"/>
          </w:tcPr>
          <w:p w:rsidR="004F7049" w:rsidRDefault="004F7049">
            <w:pPr>
              <w:jc w:val="both"/>
              <w:rPr>
                <w:rFonts w:ascii="Arial" w:hAnsi="Arial"/>
                <w:color w:val="000000"/>
                <w:sz w:val="32"/>
              </w:rPr>
            </w:pPr>
          </w:p>
          <w:p w:rsidR="004F7049" w:rsidRDefault="004F7049">
            <w:pPr>
              <w:jc w:val="both"/>
              <w:rPr>
                <w:rFonts w:ascii="Arial" w:hAnsi="Arial"/>
                <w:color w:val="000000"/>
                <w:sz w:val="32"/>
              </w:rPr>
            </w:pPr>
            <w:r>
              <w:rPr>
                <w:rFonts w:ascii="Arial" w:hAnsi="Arial"/>
                <w:color w:val="000000"/>
                <w:sz w:val="32"/>
              </w:rPr>
              <w:t>Taxes, Permits, and Administrative Overhead</w:t>
            </w:r>
          </w:p>
        </w:tc>
        <w:tc>
          <w:tcPr>
            <w:tcW w:w="2160" w:type="dxa"/>
          </w:tcPr>
          <w:p w:rsidR="004F7049" w:rsidRDefault="004F7049">
            <w:pPr>
              <w:jc w:val="right"/>
              <w:rPr>
                <w:rFonts w:ascii="Arial" w:hAnsi="Arial"/>
                <w:sz w:val="32"/>
              </w:rPr>
            </w:pPr>
          </w:p>
          <w:p w:rsidR="004F7049" w:rsidRDefault="004F7049">
            <w:pPr>
              <w:jc w:val="right"/>
              <w:rPr>
                <w:rFonts w:ascii="Arial" w:hAnsi="Arial"/>
                <w:sz w:val="32"/>
                <w:u w:val="single"/>
              </w:rPr>
            </w:pPr>
            <w:r>
              <w:rPr>
                <w:rFonts w:ascii="Arial" w:hAnsi="Arial"/>
                <w:sz w:val="32"/>
              </w:rPr>
              <w:tab/>
            </w:r>
            <w:r>
              <w:rPr>
                <w:rFonts w:ascii="Arial" w:hAnsi="Arial"/>
                <w:sz w:val="32"/>
                <w:u w:val="single"/>
              </w:rPr>
              <w:t>$  42.0</w:t>
            </w:r>
          </w:p>
        </w:tc>
      </w:tr>
      <w:tr w:rsidR="004F7049">
        <w:tblPrEx>
          <w:tblCellMar>
            <w:top w:w="0" w:type="dxa"/>
            <w:bottom w:w="0" w:type="dxa"/>
          </w:tblCellMar>
        </w:tblPrEx>
        <w:tc>
          <w:tcPr>
            <w:tcW w:w="6930" w:type="dxa"/>
          </w:tcPr>
          <w:p w:rsidR="004F7049" w:rsidRDefault="004F7049">
            <w:pPr>
              <w:jc w:val="both"/>
              <w:rPr>
                <w:rFonts w:ascii="Arial" w:hAnsi="Arial"/>
                <w:color w:val="000000"/>
                <w:sz w:val="32"/>
              </w:rPr>
            </w:pPr>
          </w:p>
          <w:p w:rsidR="004F7049" w:rsidRDefault="004F7049">
            <w:pPr>
              <w:jc w:val="both"/>
              <w:rPr>
                <w:rFonts w:ascii="Arial" w:hAnsi="Arial"/>
                <w:color w:val="000000"/>
                <w:sz w:val="32"/>
              </w:rPr>
            </w:pPr>
            <w:r>
              <w:rPr>
                <w:rFonts w:ascii="Arial" w:hAnsi="Arial"/>
                <w:color w:val="000000"/>
                <w:sz w:val="32"/>
              </w:rPr>
              <w:t>Total</w:t>
            </w:r>
          </w:p>
        </w:tc>
        <w:tc>
          <w:tcPr>
            <w:tcW w:w="2160" w:type="dxa"/>
          </w:tcPr>
          <w:p w:rsidR="004F7049" w:rsidRDefault="004F7049">
            <w:pPr>
              <w:jc w:val="right"/>
              <w:rPr>
                <w:rFonts w:ascii="Arial" w:hAnsi="Arial"/>
                <w:sz w:val="32"/>
              </w:rPr>
            </w:pPr>
          </w:p>
          <w:p w:rsidR="004F7049" w:rsidRDefault="004F7049">
            <w:pPr>
              <w:jc w:val="right"/>
              <w:rPr>
                <w:rFonts w:ascii="Arial" w:hAnsi="Arial"/>
                <w:sz w:val="32"/>
              </w:rPr>
            </w:pPr>
            <w:r>
              <w:rPr>
                <w:rFonts w:ascii="Arial" w:hAnsi="Arial"/>
                <w:sz w:val="32"/>
              </w:rPr>
              <w:tab/>
              <w:t>$ 350.2</w:t>
            </w:r>
          </w:p>
        </w:tc>
      </w:tr>
    </w:tbl>
    <w:p w:rsidR="004F7049" w:rsidRDefault="004F7049">
      <w:pPr>
        <w:jc w:val="both"/>
        <w:rPr>
          <w:color w:val="FF00FF"/>
          <w:sz w:val="24"/>
        </w:rPr>
      </w:pPr>
    </w:p>
    <w:p w:rsidR="004F7049" w:rsidRDefault="004F7049">
      <w:pPr>
        <w:pStyle w:val="Heading2"/>
        <w:rPr>
          <w:rFonts w:ascii="Arial" w:hAnsi="Arial"/>
          <w:color w:val="000000"/>
        </w:rPr>
      </w:pPr>
      <w:r>
        <w:rPr>
          <w:color w:val="FF00FF"/>
        </w:rPr>
        <w:br w:type="page"/>
      </w:r>
      <w:bookmarkStart w:id="1" w:name="_Toc222647831"/>
      <w:r>
        <w:rPr>
          <w:rFonts w:ascii="Arial" w:hAnsi="Arial" w:cs="Arial"/>
          <w:b/>
          <w:bCs/>
        </w:rPr>
        <w:lastRenderedPageBreak/>
        <w:t>A. Plan Basis</w:t>
      </w:r>
      <w:bookmarkEnd w:id="1"/>
    </w:p>
    <w:p w:rsidR="004F7049" w:rsidRDefault="004F7049">
      <w:pPr>
        <w:jc w:val="both"/>
        <w:rPr>
          <w:rFonts w:ascii="Arial" w:hAnsi="Arial"/>
          <w:b/>
          <w:color w:val="000000"/>
          <w:sz w:val="28"/>
        </w:rPr>
      </w:pPr>
    </w:p>
    <w:p w:rsidR="004F7049" w:rsidRDefault="004F7049">
      <w:pPr>
        <w:pStyle w:val="BodyText2"/>
      </w:pPr>
      <w:r>
        <w:rPr>
          <w:rFonts w:ascii="Arial" w:hAnsi="Arial"/>
          <w:color w:val="000000"/>
        </w:rPr>
        <w:t xml:space="preserve">This Plan was developed based on the parameters outlined in the Program Plan for the period July 2009 through June 2014 and provides current estimates of volumes, drilling activity and expenditures for FY09/10. Expenditure levels and project mix will be adjusted as needed to respond to fluctuations in oil price and other economic conditions.  </w:t>
      </w:r>
    </w:p>
    <w:p w:rsidR="004F7049" w:rsidRDefault="004F7049">
      <w:pPr>
        <w:pStyle w:val="BodyText2"/>
      </w:pPr>
    </w:p>
    <w:p w:rsidR="004F7049" w:rsidRDefault="004F7049">
      <w:pPr>
        <w:pStyle w:val="Heading5"/>
        <w:rPr>
          <w:rFonts w:ascii="Arial" w:hAnsi="Arial"/>
          <w:color w:val="000000"/>
        </w:rPr>
      </w:pPr>
      <w:r>
        <w:rPr>
          <w:rFonts w:ascii="Arial" w:hAnsi="Arial"/>
          <w:color w:val="000000"/>
        </w:rPr>
        <w:t>Volumes</w:t>
      </w:r>
    </w:p>
    <w:p w:rsidR="004F7049" w:rsidRDefault="004F7049">
      <w:pPr>
        <w:spacing w:line="120" w:lineRule="auto"/>
        <w:jc w:val="both"/>
        <w:rPr>
          <w:rFonts w:ascii="Arial" w:hAnsi="Arial"/>
          <w:b/>
          <w:color w:val="000000"/>
          <w:sz w:val="24"/>
          <w:u w:val="single"/>
        </w:rPr>
      </w:pPr>
    </w:p>
    <w:p w:rsidR="004F7049" w:rsidRDefault="004F7049">
      <w:pPr>
        <w:pStyle w:val="BodyText2"/>
        <w:rPr>
          <w:rFonts w:ascii="Arial" w:hAnsi="Arial"/>
        </w:rPr>
      </w:pPr>
      <w:r>
        <w:rPr>
          <w:rFonts w:ascii="Arial" w:hAnsi="Arial"/>
        </w:rPr>
        <w:t>Oil and gas production volumes are predicted to average 25.5 Mbopd and 12.6 MMcfpd, respectively, in FY09/10.  Water production for the period is expected to average 955 Mbwpd and water injection is expected to average 1,039 Mbwpd.</w:t>
      </w:r>
    </w:p>
    <w:p w:rsidR="004F7049" w:rsidRDefault="004F7049">
      <w:pPr>
        <w:pStyle w:val="BodyText2"/>
        <w:rPr>
          <w:rFonts w:ascii="Arial" w:hAnsi="Arial"/>
          <w:color w:val="000000"/>
        </w:rPr>
      </w:pPr>
    </w:p>
    <w:p w:rsidR="004F7049" w:rsidRDefault="004F7049">
      <w:pPr>
        <w:pStyle w:val="Heading5"/>
        <w:rPr>
          <w:rFonts w:ascii="Arial" w:hAnsi="Arial"/>
          <w:color w:val="000000"/>
        </w:rPr>
      </w:pPr>
      <w:r>
        <w:rPr>
          <w:rFonts w:ascii="Arial" w:hAnsi="Arial"/>
          <w:color w:val="000000"/>
        </w:rPr>
        <w:t>Revenue and Expenses</w:t>
      </w:r>
    </w:p>
    <w:p w:rsidR="004F7049" w:rsidRDefault="004F7049">
      <w:pPr>
        <w:jc w:val="both"/>
        <w:rPr>
          <w:rFonts w:ascii="Arial" w:hAnsi="Arial"/>
          <w:b/>
          <w:color w:val="000000"/>
          <w:sz w:val="24"/>
          <w:u w:val="single"/>
        </w:rPr>
      </w:pPr>
    </w:p>
    <w:p w:rsidR="004F7049" w:rsidRDefault="004F7049">
      <w:pPr>
        <w:pStyle w:val="BodyText2"/>
        <w:rPr>
          <w:rFonts w:ascii="Arial" w:hAnsi="Arial"/>
          <w:color w:val="000000"/>
        </w:rPr>
      </w:pPr>
      <w:r>
        <w:rPr>
          <w:rFonts w:ascii="Arial" w:hAnsi="Arial"/>
          <w:color w:val="000000"/>
        </w:rPr>
        <w:t>A projected oil price of $40.00/bbl Wilmington and gas price of $6.00/mcf will result in revenues of $399.2 million. Budgeted expenses for FY09/10 total $350.2 million. Projected net profit in FY09/10 is $49.0 million.</w:t>
      </w:r>
    </w:p>
    <w:p w:rsidR="004F7049" w:rsidRDefault="004F7049">
      <w:pPr>
        <w:pStyle w:val="BodyText2"/>
        <w:rPr>
          <w:rFonts w:ascii="Arial" w:hAnsi="Arial"/>
          <w:color w:val="000000"/>
        </w:rPr>
      </w:pPr>
    </w:p>
    <w:p w:rsidR="004F7049" w:rsidRDefault="004F7049">
      <w:pPr>
        <w:pStyle w:val="Heading5"/>
        <w:rPr>
          <w:rFonts w:ascii="Arial" w:hAnsi="Arial"/>
          <w:color w:val="000000"/>
        </w:rPr>
      </w:pPr>
      <w:r>
        <w:rPr>
          <w:rFonts w:ascii="Arial" w:hAnsi="Arial"/>
          <w:color w:val="000000"/>
        </w:rPr>
        <w:t>Drilling</w:t>
      </w:r>
    </w:p>
    <w:p w:rsidR="004F7049" w:rsidRDefault="004F7049">
      <w:pPr>
        <w:jc w:val="both"/>
        <w:rPr>
          <w:rFonts w:ascii="Arial" w:hAnsi="Arial"/>
          <w:b/>
          <w:color w:val="000000"/>
          <w:sz w:val="24"/>
          <w:u w:val="single"/>
        </w:rPr>
      </w:pPr>
    </w:p>
    <w:p w:rsidR="004F7049" w:rsidRDefault="004F7049">
      <w:pPr>
        <w:pStyle w:val="BodyText2"/>
      </w:pPr>
      <w:r>
        <w:rPr>
          <w:rFonts w:ascii="Arial" w:hAnsi="Arial"/>
          <w:color w:val="000000"/>
        </w:rPr>
        <w:t xml:space="preserve">This Plan allows for drilling approximately 50 new and redrilled development and/or replacement wells. </w:t>
      </w:r>
      <w:r>
        <w:rPr>
          <w:rFonts w:ascii="Arial" w:hAnsi="Arial"/>
        </w:rPr>
        <w:t>The plan is to use two drilling rigs for the FY09/10.  Two workover rigs</w:t>
      </w:r>
      <w:r>
        <w:rPr>
          <w:rFonts w:ascii="Arial" w:hAnsi="Arial"/>
          <w:color w:val="000000"/>
        </w:rPr>
        <w:t xml:space="preserve"> will perform drilling preparation and completion work.   Locations of production and injection wells to be drilled or redrilled are given in Part II, Schedule 1B of this Plan</w:t>
      </w:r>
      <w:r>
        <w:rPr>
          <w:rFonts w:ascii="Arial" w:hAnsi="Arial"/>
        </w:rPr>
        <w:t xml:space="preserve">. </w:t>
      </w:r>
    </w:p>
    <w:p w:rsidR="004F7049" w:rsidRDefault="004F7049">
      <w:pPr>
        <w:pStyle w:val="BodyText2"/>
      </w:pPr>
    </w:p>
    <w:p w:rsidR="004F7049" w:rsidRDefault="004F7049">
      <w:pPr>
        <w:pStyle w:val="Heading5"/>
        <w:rPr>
          <w:rFonts w:ascii="Arial" w:hAnsi="Arial"/>
          <w:color w:val="000000"/>
        </w:rPr>
      </w:pPr>
      <w:r>
        <w:rPr>
          <w:rFonts w:ascii="Arial" w:hAnsi="Arial"/>
          <w:color w:val="000000"/>
        </w:rPr>
        <w:t>Maintenance</w:t>
      </w:r>
    </w:p>
    <w:p w:rsidR="004F7049" w:rsidRDefault="004F7049">
      <w:pPr>
        <w:jc w:val="both"/>
        <w:rPr>
          <w:rFonts w:ascii="Arial" w:hAnsi="Arial"/>
          <w:b/>
          <w:color w:val="000000"/>
          <w:sz w:val="24"/>
          <w:u w:val="single"/>
        </w:rPr>
      </w:pPr>
    </w:p>
    <w:p w:rsidR="004F7049" w:rsidRDefault="004F7049">
      <w:pPr>
        <w:pStyle w:val="BodyText2"/>
        <w:rPr>
          <w:rFonts w:ascii="Arial" w:hAnsi="Arial"/>
          <w:color w:val="000000"/>
        </w:rPr>
      </w:pPr>
      <w:r>
        <w:rPr>
          <w:rFonts w:ascii="Arial" w:hAnsi="Arial"/>
          <w:color w:val="000000"/>
        </w:rPr>
        <w:t>Most of the major facility projects anticipated during the Plan period are required to maintain current equipment capabilities or to enhance operations.  Other projects will be necessary to take advantage of improvement opportunities and to address changes in the oil field operating environment.</w:t>
      </w:r>
    </w:p>
    <w:p w:rsidR="004F7049" w:rsidRDefault="004F7049">
      <w:pPr>
        <w:pStyle w:val="BodyText2"/>
        <w:rPr>
          <w:rFonts w:ascii="Arial" w:hAnsi="Arial"/>
          <w:color w:val="000000"/>
        </w:rPr>
      </w:pPr>
    </w:p>
    <w:p w:rsidR="004F7049" w:rsidRDefault="004F7049">
      <w:pPr>
        <w:pStyle w:val="BodyText2"/>
        <w:rPr>
          <w:rFonts w:ascii="Arial" w:hAnsi="Arial"/>
          <w:b/>
          <w:color w:val="FF00FF"/>
          <w:u w:val="single"/>
        </w:rPr>
      </w:pPr>
      <w:r>
        <w:rPr>
          <w:rFonts w:ascii="Arial" w:hAnsi="Arial"/>
          <w:color w:val="000000"/>
        </w:rPr>
        <w:t>Many projects will be undertaken to repair or replace equipment that has outlived its useful life.  Items needing to be repaired or replaced include, but are not limited to, facilities piping, tanks, and vessels.  These projects are consistent with past activities to keep the Unit facilities in safe operating condition.</w:t>
      </w:r>
    </w:p>
    <w:p w:rsidR="004F7049" w:rsidRDefault="004F7049">
      <w:pPr>
        <w:pStyle w:val="BodyText2"/>
        <w:rPr>
          <w:rFonts w:ascii="Arial" w:hAnsi="Arial"/>
          <w:b/>
          <w:color w:val="FF00FF"/>
          <w:u w:val="single"/>
        </w:rPr>
      </w:pPr>
    </w:p>
    <w:p w:rsidR="004F7049" w:rsidRDefault="004F7049">
      <w:pPr>
        <w:pStyle w:val="Heading5"/>
        <w:rPr>
          <w:rFonts w:ascii="Arial" w:hAnsi="Arial"/>
          <w:color w:val="000000"/>
        </w:rPr>
      </w:pPr>
      <w:r>
        <w:rPr>
          <w:rFonts w:ascii="Arial" w:hAnsi="Arial"/>
          <w:color w:val="000000"/>
        </w:rPr>
        <w:t>Abandonment</w:t>
      </w:r>
    </w:p>
    <w:p w:rsidR="004F7049" w:rsidRDefault="004F7049">
      <w:pPr>
        <w:pStyle w:val="BodyText2"/>
        <w:rPr>
          <w:rFonts w:ascii="Arial" w:hAnsi="Arial"/>
          <w:b/>
          <w:color w:val="000000"/>
          <w:u w:val="single"/>
        </w:rPr>
      </w:pPr>
    </w:p>
    <w:p w:rsidR="004F7049" w:rsidRDefault="004F7049">
      <w:pPr>
        <w:pStyle w:val="BodyText2"/>
        <w:rPr>
          <w:rFonts w:ascii="Arial" w:hAnsi="Arial"/>
          <w:color w:val="000000"/>
        </w:rPr>
      </w:pPr>
      <w:r>
        <w:rPr>
          <w:rFonts w:ascii="Arial" w:hAnsi="Arial"/>
          <w:color w:val="000000"/>
        </w:rPr>
        <w:t>Wells and facilities with no further economic use will be abandoned to reduce current and future Unit liability.  This Plan provides funds for plugging wells to surface, in-zone, and conditional abandonments with approximately $0.42 million in spending for the Plan period.</w:t>
      </w:r>
    </w:p>
    <w:p w:rsidR="004F7049" w:rsidRDefault="004F7049">
      <w:pPr>
        <w:pStyle w:val="BodyText2"/>
        <w:rPr>
          <w:rFonts w:ascii="Arial" w:hAnsi="Arial"/>
          <w:color w:val="000000"/>
        </w:rPr>
      </w:pPr>
      <w:r>
        <w:rPr>
          <w:rFonts w:ascii="Arial" w:hAnsi="Arial"/>
          <w:color w:val="000000"/>
        </w:rPr>
        <w:t xml:space="preserve"> </w:t>
      </w:r>
    </w:p>
    <w:p w:rsidR="004F7049" w:rsidRDefault="004F7049">
      <w:pPr>
        <w:pStyle w:val="Heading5"/>
        <w:rPr>
          <w:rFonts w:ascii="Arial" w:hAnsi="Arial"/>
          <w:b w:val="0"/>
          <w:color w:val="000000"/>
        </w:rPr>
      </w:pPr>
      <w:r>
        <w:rPr>
          <w:rFonts w:ascii="Arial" w:hAnsi="Arial"/>
          <w:color w:val="000000"/>
        </w:rPr>
        <w:lastRenderedPageBreak/>
        <w:t>Safety, Environmental, and Regulatory Compliance</w:t>
      </w:r>
    </w:p>
    <w:p w:rsidR="004F7049" w:rsidRDefault="004F7049">
      <w:pPr>
        <w:pStyle w:val="BodyText2"/>
        <w:rPr>
          <w:rFonts w:ascii="Arial" w:hAnsi="Arial"/>
          <w:b/>
          <w:color w:val="000000"/>
          <w:u w:val="single"/>
        </w:rPr>
      </w:pPr>
    </w:p>
    <w:p w:rsidR="004F7049" w:rsidRDefault="004F7049">
      <w:pPr>
        <w:pStyle w:val="Heading5"/>
        <w:rPr>
          <w:rFonts w:ascii="Arial" w:hAnsi="Arial"/>
          <w:b w:val="0"/>
          <w:color w:val="000000"/>
          <w:u w:val="none"/>
        </w:rPr>
      </w:pPr>
      <w:r>
        <w:rPr>
          <w:rFonts w:ascii="Arial" w:hAnsi="Arial"/>
          <w:b w:val="0"/>
          <w:color w:val="000000"/>
          <w:u w:val="none"/>
        </w:rPr>
        <w:t>The Unit is committed to conducting all aspects of its business in a manner that provides for the safety and health of employees, contractors and the public, and safeguards the environment in which it operates. Projects relating to safety, environmental issues, or other situations necessary for meeting compliance with code, permit, or regulatory requirements will continue to be implemented under this Plan in accordance with all Unit agreements.  In addition, Thums will be placing additional emphasis on risk and system reviews and operational safeguards to assure reliable and compliant environmental performance.</w:t>
      </w:r>
    </w:p>
    <w:p w:rsidR="004F7049" w:rsidRDefault="004F7049">
      <w:pPr>
        <w:pStyle w:val="Heading5"/>
        <w:rPr>
          <w:rFonts w:ascii="Arial" w:hAnsi="Arial"/>
          <w:color w:val="000000"/>
        </w:rPr>
      </w:pPr>
    </w:p>
    <w:p w:rsidR="004F7049" w:rsidRDefault="004F7049">
      <w:pPr>
        <w:pStyle w:val="Heading5"/>
        <w:rPr>
          <w:rFonts w:ascii="Arial" w:hAnsi="Arial"/>
          <w:color w:val="000000"/>
        </w:rPr>
      </w:pPr>
      <w:r>
        <w:rPr>
          <w:rFonts w:ascii="Arial" w:hAnsi="Arial"/>
          <w:color w:val="000000"/>
        </w:rPr>
        <w:t>Economic Review</w:t>
      </w:r>
    </w:p>
    <w:p w:rsidR="004F7049" w:rsidRDefault="004F7049">
      <w:pPr>
        <w:pStyle w:val="BodyText2"/>
        <w:rPr>
          <w:rFonts w:ascii="Arial" w:hAnsi="Arial"/>
          <w:b/>
          <w:color w:val="000000"/>
          <w:u w:val="single"/>
        </w:rPr>
      </w:pPr>
    </w:p>
    <w:p w:rsidR="004F7049" w:rsidRDefault="004F7049">
      <w:pPr>
        <w:pStyle w:val="BodyText2"/>
        <w:rPr>
          <w:rFonts w:ascii="Arial" w:hAnsi="Arial"/>
          <w:color w:val="000000"/>
        </w:rPr>
      </w:pPr>
      <w:r>
        <w:rPr>
          <w:rFonts w:ascii="Arial" w:hAnsi="Arial"/>
          <w:color w:val="000000"/>
        </w:rPr>
        <w:t xml:space="preserve">Project expenditures during the Plan period are subject to economic review through the Determination and Authority for Expenditure processes. </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t>All existing wells are frequently reviewed in light of changing crude prices to determine if they are economic to operate.  Well servicing work is justified on economics and other conditions consistent with good engineering, business, and operating practices.</w:t>
      </w:r>
    </w:p>
    <w:p w:rsidR="004F7049" w:rsidRDefault="004F7049">
      <w:pPr>
        <w:pStyle w:val="BodyText2"/>
        <w:rPr>
          <w:color w:val="FF00FF"/>
        </w:rPr>
      </w:pPr>
    </w:p>
    <w:p w:rsidR="004F7049" w:rsidRDefault="004F7049">
      <w:pPr>
        <w:pStyle w:val="Heading2"/>
        <w:rPr>
          <w:rFonts w:ascii="Arial" w:hAnsi="Arial" w:cs="Arial"/>
          <w:b/>
          <w:bCs/>
        </w:rPr>
      </w:pPr>
      <w:r>
        <w:rPr>
          <w:rFonts w:ascii="Arial" w:hAnsi="Arial" w:cs="Arial"/>
          <w:b/>
          <w:bCs/>
        </w:rPr>
        <w:br w:type="page"/>
      </w:r>
      <w:bookmarkStart w:id="2" w:name="_Toc222647832"/>
      <w:r>
        <w:rPr>
          <w:rFonts w:ascii="Arial" w:hAnsi="Arial" w:cs="Arial"/>
          <w:b/>
          <w:bCs/>
        </w:rPr>
        <w:lastRenderedPageBreak/>
        <w:t>B. Economic Projections</w:t>
      </w:r>
      <w:bookmarkEnd w:id="2"/>
      <w:r>
        <w:rPr>
          <w:rFonts w:ascii="Arial" w:hAnsi="Arial" w:cs="Arial"/>
          <w:b/>
          <w:bCs/>
        </w:rPr>
        <w:t xml:space="preserve"> </w:t>
      </w:r>
    </w:p>
    <w:p w:rsidR="004F7049" w:rsidRDefault="004F7049"/>
    <w:tbl>
      <w:tblPr>
        <w:tblW w:w="9988" w:type="dxa"/>
        <w:tblInd w:w="-780" w:type="dxa"/>
        <w:tblLayout w:type="fixed"/>
        <w:tblCellMar>
          <w:left w:w="30" w:type="dxa"/>
          <w:right w:w="30" w:type="dxa"/>
        </w:tblCellMar>
        <w:tblLook w:val="0000"/>
      </w:tblPr>
      <w:tblGrid>
        <w:gridCol w:w="3941"/>
        <w:gridCol w:w="1191"/>
        <w:gridCol w:w="1191"/>
        <w:gridCol w:w="1191"/>
        <w:gridCol w:w="1191"/>
        <w:gridCol w:w="1283"/>
      </w:tblGrid>
      <w:tr w:rsidR="004F7049">
        <w:tblPrEx>
          <w:tblCellMar>
            <w:top w:w="0" w:type="dxa"/>
            <w:bottom w:w="0" w:type="dxa"/>
          </w:tblCellMar>
        </w:tblPrEx>
        <w:trPr>
          <w:trHeight w:val="253"/>
        </w:trPr>
        <w:tc>
          <w:tcPr>
            <w:tcW w:w="3941" w:type="dxa"/>
          </w:tcPr>
          <w:p w:rsidR="004F7049" w:rsidRDefault="004F7049">
            <w:pPr>
              <w:ind w:left="-30" w:firstLine="30"/>
              <w:rPr>
                <w:rFonts w:ascii="Arial" w:hAnsi="Arial"/>
                <w:b/>
                <w:snapToGrid w:val="0"/>
                <w:color w:val="000000"/>
                <w:sz w:val="28"/>
              </w:rPr>
            </w:pPr>
          </w:p>
        </w:tc>
        <w:tc>
          <w:tcPr>
            <w:tcW w:w="1191" w:type="dxa"/>
          </w:tcPr>
          <w:p w:rsidR="004F7049" w:rsidRDefault="004F7049">
            <w:pPr>
              <w:jc w:val="right"/>
              <w:rPr>
                <w:rFonts w:ascii="Arial" w:hAnsi="Arial"/>
                <w:snapToGrid w:val="0"/>
                <w:color w:val="000000"/>
              </w:rPr>
            </w:pPr>
          </w:p>
        </w:tc>
        <w:tc>
          <w:tcPr>
            <w:tcW w:w="1191" w:type="dxa"/>
          </w:tcPr>
          <w:p w:rsidR="004F7049" w:rsidRDefault="004F7049">
            <w:pPr>
              <w:jc w:val="right"/>
              <w:rPr>
                <w:rFonts w:ascii="Arial" w:hAnsi="Arial"/>
                <w:snapToGrid w:val="0"/>
                <w:color w:val="000000"/>
              </w:rPr>
            </w:pPr>
          </w:p>
        </w:tc>
        <w:tc>
          <w:tcPr>
            <w:tcW w:w="1191" w:type="dxa"/>
          </w:tcPr>
          <w:p w:rsidR="004F7049" w:rsidRDefault="004F7049">
            <w:pPr>
              <w:jc w:val="right"/>
              <w:rPr>
                <w:rFonts w:ascii="Arial" w:hAnsi="Arial"/>
                <w:snapToGrid w:val="0"/>
                <w:color w:val="000000"/>
              </w:rPr>
            </w:pPr>
          </w:p>
        </w:tc>
        <w:tc>
          <w:tcPr>
            <w:tcW w:w="1191" w:type="dxa"/>
          </w:tcPr>
          <w:p w:rsidR="004F7049" w:rsidRDefault="004F7049">
            <w:pPr>
              <w:jc w:val="right"/>
              <w:rPr>
                <w:rFonts w:ascii="Arial" w:hAnsi="Arial"/>
                <w:snapToGrid w:val="0"/>
                <w:color w:val="000000"/>
              </w:rPr>
            </w:pPr>
          </w:p>
        </w:tc>
        <w:tc>
          <w:tcPr>
            <w:tcW w:w="1283"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179"/>
        </w:trPr>
        <w:tc>
          <w:tcPr>
            <w:tcW w:w="3941" w:type="dxa"/>
          </w:tcPr>
          <w:p w:rsidR="004F7049" w:rsidRDefault="004F7049">
            <w:pPr>
              <w:ind w:left="-30" w:firstLine="30"/>
              <w:rPr>
                <w:rFonts w:ascii="Arial" w:hAnsi="Arial"/>
                <w:b/>
                <w:snapToGrid w:val="0"/>
                <w:color w:val="000000"/>
              </w:rPr>
            </w:pPr>
            <w:r>
              <w:rPr>
                <w:rFonts w:ascii="Arial" w:hAnsi="Arial"/>
                <w:b/>
                <w:snapToGrid w:val="0"/>
                <w:color w:val="000000"/>
              </w:rPr>
              <w:t>(Data in Millions of Dollars)</w:t>
            </w:r>
          </w:p>
        </w:tc>
        <w:tc>
          <w:tcPr>
            <w:tcW w:w="1191" w:type="dxa"/>
          </w:tcPr>
          <w:p w:rsidR="004F7049" w:rsidRDefault="004F7049">
            <w:pPr>
              <w:jc w:val="right"/>
              <w:rPr>
                <w:rFonts w:ascii="Arial" w:hAnsi="Arial"/>
                <w:snapToGrid w:val="0"/>
                <w:color w:val="000000"/>
              </w:rPr>
            </w:pPr>
          </w:p>
        </w:tc>
        <w:tc>
          <w:tcPr>
            <w:tcW w:w="1191" w:type="dxa"/>
          </w:tcPr>
          <w:p w:rsidR="004F7049" w:rsidRDefault="004F7049">
            <w:pPr>
              <w:jc w:val="right"/>
              <w:rPr>
                <w:rFonts w:ascii="Arial" w:hAnsi="Arial"/>
                <w:snapToGrid w:val="0"/>
                <w:color w:val="000000"/>
              </w:rPr>
            </w:pPr>
          </w:p>
        </w:tc>
        <w:tc>
          <w:tcPr>
            <w:tcW w:w="1191" w:type="dxa"/>
          </w:tcPr>
          <w:p w:rsidR="004F7049" w:rsidRDefault="004F7049">
            <w:pPr>
              <w:jc w:val="right"/>
              <w:rPr>
                <w:rFonts w:ascii="Arial" w:hAnsi="Arial"/>
                <w:snapToGrid w:val="0"/>
                <w:color w:val="000000"/>
              </w:rPr>
            </w:pPr>
          </w:p>
        </w:tc>
        <w:tc>
          <w:tcPr>
            <w:tcW w:w="1191" w:type="dxa"/>
          </w:tcPr>
          <w:p w:rsidR="004F7049" w:rsidRDefault="004F7049">
            <w:pPr>
              <w:jc w:val="right"/>
              <w:rPr>
                <w:rFonts w:ascii="Arial" w:hAnsi="Arial"/>
                <w:snapToGrid w:val="0"/>
                <w:color w:val="000000"/>
              </w:rPr>
            </w:pPr>
          </w:p>
        </w:tc>
        <w:tc>
          <w:tcPr>
            <w:tcW w:w="1283"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736"/>
        </w:trPr>
        <w:tc>
          <w:tcPr>
            <w:tcW w:w="3941" w:type="dxa"/>
          </w:tcPr>
          <w:p w:rsidR="004F7049" w:rsidRDefault="004F7049">
            <w:pPr>
              <w:ind w:left="-30" w:firstLine="30"/>
              <w:jc w:val="right"/>
              <w:rPr>
                <w:rFonts w:ascii="Arial" w:hAnsi="Arial"/>
                <w:snapToGrid w:val="0"/>
                <w:color w:val="000000"/>
              </w:rPr>
            </w:pPr>
          </w:p>
        </w:tc>
        <w:tc>
          <w:tcPr>
            <w:tcW w:w="1191" w:type="dxa"/>
          </w:tcPr>
          <w:p w:rsidR="004F7049" w:rsidRDefault="004F7049">
            <w:pPr>
              <w:jc w:val="center"/>
              <w:rPr>
                <w:rFonts w:ascii="Arial" w:hAnsi="Arial"/>
                <w:snapToGrid w:val="0"/>
                <w:color w:val="000000"/>
              </w:rPr>
            </w:pPr>
            <w:r>
              <w:rPr>
                <w:rFonts w:ascii="Arial" w:hAnsi="Arial"/>
                <w:snapToGrid w:val="0"/>
                <w:color w:val="000000"/>
              </w:rPr>
              <w:t xml:space="preserve">BUDGET FIRST QUARTER </w:t>
            </w:r>
            <w:r>
              <w:rPr>
                <w:rFonts w:ascii="Arial" w:hAnsi="Arial"/>
                <w:snapToGrid w:val="0"/>
                <w:color w:val="000000"/>
                <w:u w:val="single"/>
              </w:rPr>
              <w:t>FY09/10</w:t>
            </w:r>
          </w:p>
        </w:tc>
        <w:tc>
          <w:tcPr>
            <w:tcW w:w="1191" w:type="dxa"/>
          </w:tcPr>
          <w:p w:rsidR="004F7049" w:rsidRDefault="004F7049">
            <w:pPr>
              <w:jc w:val="center"/>
              <w:rPr>
                <w:rFonts w:ascii="Arial" w:hAnsi="Arial"/>
                <w:snapToGrid w:val="0"/>
                <w:color w:val="000000"/>
              </w:rPr>
            </w:pPr>
            <w:r>
              <w:rPr>
                <w:rFonts w:ascii="Arial" w:hAnsi="Arial"/>
                <w:snapToGrid w:val="0"/>
                <w:color w:val="000000"/>
              </w:rPr>
              <w:t xml:space="preserve">BUDGET SECOND QUARTER </w:t>
            </w:r>
            <w:r>
              <w:rPr>
                <w:rFonts w:ascii="Arial" w:hAnsi="Arial"/>
                <w:snapToGrid w:val="0"/>
                <w:color w:val="000000"/>
                <w:u w:val="single"/>
              </w:rPr>
              <w:t>FY09/10</w:t>
            </w:r>
          </w:p>
        </w:tc>
        <w:tc>
          <w:tcPr>
            <w:tcW w:w="1191" w:type="dxa"/>
          </w:tcPr>
          <w:p w:rsidR="004F7049" w:rsidRDefault="004F7049">
            <w:pPr>
              <w:jc w:val="center"/>
              <w:rPr>
                <w:rFonts w:ascii="Arial" w:hAnsi="Arial"/>
                <w:snapToGrid w:val="0"/>
                <w:color w:val="000000"/>
              </w:rPr>
            </w:pPr>
            <w:r>
              <w:rPr>
                <w:rFonts w:ascii="Arial" w:hAnsi="Arial"/>
                <w:snapToGrid w:val="0"/>
                <w:color w:val="000000"/>
              </w:rPr>
              <w:t xml:space="preserve">BUDGET THIRD QUARTER </w:t>
            </w:r>
            <w:r>
              <w:rPr>
                <w:rFonts w:ascii="Arial" w:hAnsi="Arial"/>
                <w:snapToGrid w:val="0"/>
                <w:color w:val="000000"/>
                <w:u w:val="single"/>
              </w:rPr>
              <w:t>FY09/10</w:t>
            </w:r>
          </w:p>
        </w:tc>
        <w:tc>
          <w:tcPr>
            <w:tcW w:w="1191" w:type="dxa"/>
          </w:tcPr>
          <w:p w:rsidR="004F7049" w:rsidRDefault="004F7049">
            <w:pPr>
              <w:jc w:val="center"/>
              <w:rPr>
                <w:rFonts w:ascii="Arial" w:hAnsi="Arial"/>
                <w:snapToGrid w:val="0"/>
                <w:color w:val="000000"/>
              </w:rPr>
            </w:pPr>
            <w:r>
              <w:rPr>
                <w:rFonts w:ascii="Arial" w:hAnsi="Arial"/>
                <w:snapToGrid w:val="0"/>
                <w:color w:val="000000"/>
              </w:rPr>
              <w:t xml:space="preserve">BUDGET FOURTH QUARTER </w:t>
            </w:r>
            <w:r>
              <w:rPr>
                <w:rFonts w:ascii="Arial" w:hAnsi="Arial"/>
                <w:snapToGrid w:val="0"/>
                <w:color w:val="000000"/>
                <w:u w:val="single"/>
              </w:rPr>
              <w:t>FY09/10</w:t>
            </w:r>
          </w:p>
        </w:tc>
        <w:tc>
          <w:tcPr>
            <w:tcW w:w="1283" w:type="dxa"/>
          </w:tcPr>
          <w:p w:rsidR="004F7049" w:rsidRDefault="004F7049">
            <w:pPr>
              <w:jc w:val="center"/>
              <w:rPr>
                <w:rFonts w:ascii="Arial" w:hAnsi="Arial"/>
                <w:snapToGrid w:val="0"/>
                <w:color w:val="000000"/>
              </w:rPr>
            </w:pPr>
          </w:p>
          <w:p w:rsidR="004F7049" w:rsidRDefault="004F7049">
            <w:pPr>
              <w:jc w:val="center"/>
              <w:rPr>
                <w:rFonts w:ascii="Arial" w:hAnsi="Arial"/>
                <w:snapToGrid w:val="0"/>
                <w:color w:val="000000"/>
              </w:rPr>
            </w:pPr>
            <w:r>
              <w:rPr>
                <w:rFonts w:ascii="Arial" w:hAnsi="Arial"/>
                <w:snapToGrid w:val="0"/>
                <w:color w:val="000000"/>
              </w:rPr>
              <w:t xml:space="preserve">BUDGET TOTAL </w:t>
            </w:r>
            <w:r>
              <w:rPr>
                <w:rFonts w:ascii="Arial" w:hAnsi="Arial"/>
                <w:snapToGrid w:val="0"/>
                <w:color w:val="000000"/>
                <w:u w:val="single"/>
              </w:rPr>
              <w:t>FY09/10</w:t>
            </w:r>
          </w:p>
        </w:tc>
      </w:tr>
      <w:tr w:rsidR="004F7049">
        <w:tblPrEx>
          <w:tblCellMar>
            <w:top w:w="0" w:type="dxa"/>
            <w:bottom w:w="0" w:type="dxa"/>
          </w:tblCellMar>
        </w:tblPrEx>
        <w:trPr>
          <w:trHeight w:hRule="exact" w:val="359"/>
        </w:trPr>
        <w:tc>
          <w:tcPr>
            <w:tcW w:w="3941" w:type="dxa"/>
          </w:tcPr>
          <w:p w:rsidR="004F7049" w:rsidRDefault="004F7049">
            <w:pPr>
              <w:ind w:left="-30" w:firstLine="30"/>
              <w:rPr>
                <w:rFonts w:ascii="Arial" w:hAnsi="Arial"/>
                <w:b/>
                <w:snapToGrid w:val="0"/>
                <w:color w:val="000000"/>
                <w:u w:val="single"/>
              </w:rPr>
            </w:pPr>
            <w:r>
              <w:rPr>
                <w:rFonts w:ascii="Arial" w:hAnsi="Arial"/>
                <w:b/>
                <w:snapToGrid w:val="0"/>
                <w:color w:val="000000"/>
                <w:u w:val="single"/>
              </w:rPr>
              <w:t>ESTIMATED REVENUE</w:t>
            </w:r>
          </w:p>
        </w:tc>
        <w:tc>
          <w:tcPr>
            <w:tcW w:w="1191" w:type="dxa"/>
          </w:tcPr>
          <w:p w:rsidR="004F7049" w:rsidRDefault="004F7049">
            <w:pPr>
              <w:jc w:val="right"/>
              <w:rPr>
                <w:rFonts w:ascii="Arial" w:hAnsi="Arial"/>
                <w:snapToGrid w:val="0"/>
                <w:color w:val="000000"/>
              </w:rPr>
            </w:pPr>
          </w:p>
        </w:tc>
        <w:tc>
          <w:tcPr>
            <w:tcW w:w="1191" w:type="dxa"/>
          </w:tcPr>
          <w:p w:rsidR="004F7049" w:rsidRDefault="004F7049">
            <w:pPr>
              <w:jc w:val="right"/>
              <w:rPr>
                <w:rFonts w:ascii="Arial" w:hAnsi="Arial"/>
                <w:snapToGrid w:val="0"/>
                <w:color w:val="000000"/>
              </w:rPr>
            </w:pPr>
          </w:p>
        </w:tc>
        <w:tc>
          <w:tcPr>
            <w:tcW w:w="1191" w:type="dxa"/>
          </w:tcPr>
          <w:p w:rsidR="004F7049" w:rsidRDefault="004F7049">
            <w:pPr>
              <w:jc w:val="right"/>
              <w:rPr>
                <w:rFonts w:ascii="Arial" w:hAnsi="Arial"/>
                <w:snapToGrid w:val="0"/>
                <w:color w:val="000000"/>
              </w:rPr>
            </w:pPr>
          </w:p>
        </w:tc>
        <w:tc>
          <w:tcPr>
            <w:tcW w:w="1191" w:type="dxa"/>
          </w:tcPr>
          <w:p w:rsidR="004F7049" w:rsidRDefault="004F7049">
            <w:pPr>
              <w:jc w:val="right"/>
              <w:rPr>
                <w:rFonts w:ascii="Arial" w:hAnsi="Arial"/>
                <w:snapToGrid w:val="0"/>
                <w:color w:val="000000"/>
              </w:rPr>
            </w:pPr>
          </w:p>
        </w:tc>
        <w:tc>
          <w:tcPr>
            <w:tcW w:w="1283"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hRule="exact" w:val="359"/>
        </w:trPr>
        <w:tc>
          <w:tcPr>
            <w:tcW w:w="3941" w:type="dxa"/>
          </w:tcPr>
          <w:p w:rsidR="004F7049" w:rsidRDefault="004F7049">
            <w:pPr>
              <w:ind w:left="720" w:firstLine="30"/>
              <w:rPr>
                <w:rFonts w:ascii="Arial" w:hAnsi="Arial"/>
                <w:snapToGrid w:val="0"/>
                <w:color w:val="000000"/>
              </w:rPr>
            </w:pPr>
            <w:r>
              <w:rPr>
                <w:rFonts w:ascii="Arial" w:hAnsi="Arial"/>
                <w:snapToGrid w:val="0"/>
                <w:color w:val="000000"/>
              </w:rPr>
              <w:t>Oil Revenue</w:t>
            </w:r>
          </w:p>
        </w:tc>
        <w:tc>
          <w:tcPr>
            <w:tcW w:w="1191" w:type="dxa"/>
          </w:tcPr>
          <w:p w:rsidR="004F7049" w:rsidRDefault="004F7049">
            <w:pPr>
              <w:jc w:val="right"/>
              <w:rPr>
                <w:rFonts w:ascii="Arial" w:hAnsi="Arial" w:cs="Arial"/>
              </w:rPr>
            </w:pPr>
            <w:r>
              <w:rPr>
                <w:rFonts w:ascii="Arial" w:hAnsi="Arial" w:cs="Arial"/>
              </w:rPr>
              <w:t>$95.5</w:t>
            </w:r>
          </w:p>
        </w:tc>
        <w:tc>
          <w:tcPr>
            <w:tcW w:w="1191" w:type="dxa"/>
          </w:tcPr>
          <w:p w:rsidR="004F7049" w:rsidRDefault="004F7049">
            <w:pPr>
              <w:jc w:val="right"/>
              <w:rPr>
                <w:rFonts w:ascii="Arial" w:hAnsi="Arial" w:cs="Arial"/>
              </w:rPr>
            </w:pPr>
            <w:r>
              <w:rPr>
                <w:rFonts w:ascii="Arial" w:hAnsi="Arial" w:cs="Arial"/>
              </w:rPr>
              <w:t>$94.5</w:t>
            </w:r>
          </w:p>
        </w:tc>
        <w:tc>
          <w:tcPr>
            <w:tcW w:w="1191" w:type="dxa"/>
          </w:tcPr>
          <w:p w:rsidR="004F7049" w:rsidRDefault="004F7049">
            <w:pPr>
              <w:jc w:val="right"/>
              <w:rPr>
                <w:rFonts w:ascii="Arial" w:hAnsi="Arial" w:cs="Arial"/>
              </w:rPr>
            </w:pPr>
            <w:r>
              <w:rPr>
                <w:rFonts w:ascii="Arial" w:hAnsi="Arial" w:cs="Arial"/>
              </w:rPr>
              <w:t>$90.2</w:t>
            </w:r>
          </w:p>
        </w:tc>
        <w:tc>
          <w:tcPr>
            <w:tcW w:w="1191" w:type="dxa"/>
          </w:tcPr>
          <w:p w:rsidR="004F7049" w:rsidRDefault="004F7049">
            <w:pPr>
              <w:jc w:val="right"/>
              <w:rPr>
                <w:rFonts w:ascii="Arial" w:hAnsi="Arial" w:cs="Arial"/>
              </w:rPr>
            </w:pPr>
            <w:r>
              <w:rPr>
                <w:rFonts w:ascii="Arial" w:hAnsi="Arial" w:cs="Arial"/>
              </w:rPr>
              <w:t>$91.5</w:t>
            </w:r>
          </w:p>
        </w:tc>
        <w:tc>
          <w:tcPr>
            <w:tcW w:w="1283" w:type="dxa"/>
          </w:tcPr>
          <w:p w:rsidR="004F7049" w:rsidRDefault="004F7049">
            <w:pPr>
              <w:jc w:val="right"/>
              <w:rPr>
                <w:rFonts w:ascii="Arial" w:hAnsi="Arial" w:cs="Arial"/>
              </w:rPr>
            </w:pPr>
            <w:r>
              <w:rPr>
                <w:rFonts w:ascii="Arial" w:hAnsi="Arial" w:cs="Arial"/>
              </w:rPr>
              <w:t>$371.7</w:t>
            </w:r>
          </w:p>
        </w:tc>
      </w:tr>
      <w:tr w:rsidR="004F7049">
        <w:tblPrEx>
          <w:tblCellMar>
            <w:top w:w="0" w:type="dxa"/>
            <w:bottom w:w="0" w:type="dxa"/>
          </w:tblCellMar>
        </w:tblPrEx>
        <w:trPr>
          <w:trHeight w:hRule="exact" w:val="359"/>
        </w:trPr>
        <w:tc>
          <w:tcPr>
            <w:tcW w:w="3941" w:type="dxa"/>
          </w:tcPr>
          <w:p w:rsidR="004F7049" w:rsidRDefault="004F7049">
            <w:pPr>
              <w:ind w:left="720" w:firstLine="30"/>
              <w:rPr>
                <w:rFonts w:ascii="Arial" w:hAnsi="Arial"/>
                <w:snapToGrid w:val="0"/>
                <w:color w:val="000000"/>
              </w:rPr>
            </w:pPr>
            <w:r>
              <w:rPr>
                <w:rFonts w:ascii="Arial" w:hAnsi="Arial"/>
                <w:snapToGrid w:val="0"/>
                <w:color w:val="000000"/>
              </w:rPr>
              <w:t>Gas Revenue</w:t>
            </w:r>
          </w:p>
        </w:tc>
        <w:tc>
          <w:tcPr>
            <w:tcW w:w="1191" w:type="dxa"/>
          </w:tcPr>
          <w:p w:rsidR="004F7049" w:rsidRDefault="004F7049">
            <w:pPr>
              <w:jc w:val="right"/>
              <w:rPr>
                <w:rFonts w:ascii="Arial" w:hAnsi="Arial" w:cs="Arial"/>
                <w:u w:val="single"/>
              </w:rPr>
            </w:pPr>
            <w:r>
              <w:rPr>
                <w:rFonts w:ascii="Arial" w:hAnsi="Arial" w:cs="Arial"/>
                <w:u w:val="single"/>
              </w:rPr>
              <w:t>$7.4</w:t>
            </w:r>
          </w:p>
        </w:tc>
        <w:tc>
          <w:tcPr>
            <w:tcW w:w="1191" w:type="dxa"/>
          </w:tcPr>
          <w:p w:rsidR="004F7049" w:rsidRDefault="004F7049">
            <w:pPr>
              <w:jc w:val="right"/>
              <w:rPr>
                <w:rFonts w:ascii="Arial" w:hAnsi="Arial" w:cs="Arial"/>
                <w:u w:val="single"/>
              </w:rPr>
            </w:pPr>
            <w:r>
              <w:rPr>
                <w:rFonts w:ascii="Arial" w:hAnsi="Arial" w:cs="Arial"/>
                <w:u w:val="single"/>
              </w:rPr>
              <w:t>$7.3</w:t>
            </w:r>
          </w:p>
        </w:tc>
        <w:tc>
          <w:tcPr>
            <w:tcW w:w="1191" w:type="dxa"/>
          </w:tcPr>
          <w:p w:rsidR="004F7049" w:rsidRDefault="004F7049">
            <w:pPr>
              <w:jc w:val="right"/>
              <w:rPr>
                <w:rFonts w:ascii="Arial" w:hAnsi="Arial" w:cs="Arial"/>
                <w:u w:val="single"/>
              </w:rPr>
            </w:pPr>
            <w:r>
              <w:rPr>
                <w:rFonts w:ascii="Arial" w:hAnsi="Arial" w:cs="Arial"/>
                <w:u w:val="single"/>
              </w:rPr>
              <w:t>$6.2</w:t>
            </w:r>
          </w:p>
        </w:tc>
        <w:tc>
          <w:tcPr>
            <w:tcW w:w="1191" w:type="dxa"/>
          </w:tcPr>
          <w:p w:rsidR="004F7049" w:rsidRDefault="004F7049">
            <w:pPr>
              <w:jc w:val="right"/>
              <w:rPr>
                <w:rFonts w:ascii="Arial" w:hAnsi="Arial" w:cs="Arial"/>
                <w:u w:val="single"/>
              </w:rPr>
            </w:pPr>
            <w:r>
              <w:rPr>
                <w:rFonts w:ascii="Arial" w:hAnsi="Arial" w:cs="Arial"/>
                <w:u w:val="single"/>
              </w:rPr>
              <w:t>$6.6</w:t>
            </w:r>
          </w:p>
        </w:tc>
        <w:tc>
          <w:tcPr>
            <w:tcW w:w="1283" w:type="dxa"/>
          </w:tcPr>
          <w:p w:rsidR="004F7049" w:rsidRDefault="004F7049">
            <w:pPr>
              <w:jc w:val="right"/>
              <w:rPr>
                <w:rFonts w:ascii="Arial" w:hAnsi="Arial" w:cs="Arial"/>
                <w:u w:val="single"/>
              </w:rPr>
            </w:pPr>
            <w:r>
              <w:rPr>
                <w:rFonts w:ascii="Arial" w:hAnsi="Arial" w:cs="Arial"/>
                <w:u w:val="single"/>
              </w:rPr>
              <w:t>$27.5</w:t>
            </w:r>
          </w:p>
        </w:tc>
      </w:tr>
      <w:tr w:rsidR="004F7049">
        <w:tblPrEx>
          <w:tblCellMar>
            <w:top w:w="0" w:type="dxa"/>
            <w:bottom w:w="0" w:type="dxa"/>
          </w:tblCellMar>
        </w:tblPrEx>
        <w:trPr>
          <w:trHeight w:hRule="exact" w:val="359"/>
        </w:trPr>
        <w:tc>
          <w:tcPr>
            <w:tcW w:w="3941" w:type="dxa"/>
          </w:tcPr>
          <w:p w:rsidR="004F7049" w:rsidRDefault="004F7049">
            <w:pPr>
              <w:ind w:left="720" w:firstLine="30"/>
              <w:rPr>
                <w:rFonts w:ascii="Arial" w:hAnsi="Arial"/>
                <w:b/>
                <w:snapToGrid w:val="0"/>
                <w:color w:val="000000"/>
              </w:rPr>
            </w:pPr>
            <w:r>
              <w:rPr>
                <w:rFonts w:ascii="Arial" w:hAnsi="Arial"/>
                <w:b/>
                <w:snapToGrid w:val="0"/>
                <w:color w:val="000000"/>
              </w:rPr>
              <w:t>TOTAL REVENUE</w:t>
            </w:r>
          </w:p>
        </w:tc>
        <w:tc>
          <w:tcPr>
            <w:tcW w:w="1191" w:type="dxa"/>
          </w:tcPr>
          <w:p w:rsidR="004F7049" w:rsidRDefault="004F7049">
            <w:pPr>
              <w:jc w:val="right"/>
              <w:rPr>
                <w:rFonts w:ascii="Arial" w:hAnsi="Arial" w:cs="Arial"/>
              </w:rPr>
            </w:pPr>
            <w:r>
              <w:rPr>
                <w:rFonts w:ascii="Arial" w:hAnsi="Arial" w:cs="Arial"/>
              </w:rPr>
              <w:t>$102.9</w:t>
            </w:r>
          </w:p>
        </w:tc>
        <w:tc>
          <w:tcPr>
            <w:tcW w:w="1191" w:type="dxa"/>
          </w:tcPr>
          <w:p w:rsidR="004F7049" w:rsidRDefault="004F7049">
            <w:pPr>
              <w:jc w:val="right"/>
              <w:rPr>
                <w:rFonts w:ascii="Arial" w:hAnsi="Arial" w:cs="Arial"/>
              </w:rPr>
            </w:pPr>
            <w:r>
              <w:rPr>
                <w:rFonts w:ascii="Arial" w:hAnsi="Arial" w:cs="Arial"/>
              </w:rPr>
              <w:t>$101.8</w:t>
            </w:r>
          </w:p>
        </w:tc>
        <w:tc>
          <w:tcPr>
            <w:tcW w:w="1191" w:type="dxa"/>
          </w:tcPr>
          <w:p w:rsidR="004F7049" w:rsidRDefault="004F7049">
            <w:pPr>
              <w:jc w:val="right"/>
              <w:rPr>
                <w:rFonts w:ascii="Arial" w:hAnsi="Arial" w:cs="Arial"/>
              </w:rPr>
            </w:pPr>
            <w:r>
              <w:rPr>
                <w:rFonts w:ascii="Arial" w:hAnsi="Arial" w:cs="Arial"/>
              </w:rPr>
              <w:t>$96.4</w:t>
            </w:r>
          </w:p>
        </w:tc>
        <w:tc>
          <w:tcPr>
            <w:tcW w:w="1191" w:type="dxa"/>
          </w:tcPr>
          <w:p w:rsidR="004F7049" w:rsidRDefault="004F7049">
            <w:pPr>
              <w:jc w:val="right"/>
              <w:rPr>
                <w:rFonts w:ascii="Arial" w:hAnsi="Arial" w:cs="Arial"/>
              </w:rPr>
            </w:pPr>
            <w:r>
              <w:rPr>
                <w:rFonts w:ascii="Arial" w:hAnsi="Arial" w:cs="Arial"/>
              </w:rPr>
              <w:t>$98.1</w:t>
            </w:r>
          </w:p>
        </w:tc>
        <w:tc>
          <w:tcPr>
            <w:tcW w:w="1283" w:type="dxa"/>
          </w:tcPr>
          <w:p w:rsidR="004F7049" w:rsidRDefault="004F7049">
            <w:pPr>
              <w:jc w:val="right"/>
              <w:rPr>
                <w:rFonts w:ascii="Arial" w:hAnsi="Arial" w:cs="Arial"/>
              </w:rPr>
            </w:pPr>
            <w:r>
              <w:rPr>
                <w:rFonts w:ascii="Arial" w:hAnsi="Arial" w:cs="Arial"/>
              </w:rPr>
              <w:t>$399.2</w:t>
            </w:r>
          </w:p>
        </w:tc>
      </w:tr>
      <w:tr w:rsidR="004F7049">
        <w:tblPrEx>
          <w:tblCellMar>
            <w:top w:w="0" w:type="dxa"/>
            <w:bottom w:w="0" w:type="dxa"/>
          </w:tblCellMar>
        </w:tblPrEx>
        <w:trPr>
          <w:trHeight w:hRule="exact" w:val="359"/>
        </w:trPr>
        <w:tc>
          <w:tcPr>
            <w:tcW w:w="3941" w:type="dxa"/>
          </w:tcPr>
          <w:p w:rsidR="004F7049" w:rsidRDefault="004F7049">
            <w:pPr>
              <w:ind w:left="-30" w:firstLine="30"/>
              <w:jc w:val="right"/>
              <w:rPr>
                <w:rFonts w:ascii="Arial" w:hAnsi="Arial"/>
                <w:snapToGrid w:val="0"/>
                <w:color w:val="000000"/>
              </w:rPr>
            </w:pPr>
          </w:p>
        </w:tc>
        <w:tc>
          <w:tcPr>
            <w:tcW w:w="1191" w:type="dxa"/>
          </w:tcPr>
          <w:p w:rsidR="004F7049" w:rsidRDefault="004F7049">
            <w:pPr>
              <w:jc w:val="right"/>
              <w:rPr>
                <w:rFonts w:ascii="Arial" w:hAnsi="Arial"/>
                <w:snapToGrid w:val="0"/>
              </w:rPr>
            </w:pPr>
          </w:p>
        </w:tc>
        <w:tc>
          <w:tcPr>
            <w:tcW w:w="1191" w:type="dxa"/>
          </w:tcPr>
          <w:p w:rsidR="004F7049" w:rsidRDefault="004F7049">
            <w:pPr>
              <w:jc w:val="right"/>
              <w:rPr>
                <w:rFonts w:ascii="Arial" w:hAnsi="Arial"/>
                <w:snapToGrid w:val="0"/>
              </w:rPr>
            </w:pPr>
          </w:p>
        </w:tc>
        <w:tc>
          <w:tcPr>
            <w:tcW w:w="1191" w:type="dxa"/>
          </w:tcPr>
          <w:p w:rsidR="004F7049" w:rsidRDefault="004F7049">
            <w:pPr>
              <w:jc w:val="right"/>
              <w:rPr>
                <w:rFonts w:ascii="Arial" w:hAnsi="Arial"/>
                <w:snapToGrid w:val="0"/>
              </w:rPr>
            </w:pPr>
          </w:p>
        </w:tc>
        <w:tc>
          <w:tcPr>
            <w:tcW w:w="1191" w:type="dxa"/>
          </w:tcPr>
          <w:p w:rsidR="004F7049" w:rsidRDefault="004F7049">
            <w:pPr>
              <w:jc w:val="right"/>
              <w:rPr>
                <w:rFonts w:ascii="Arial" w:hAnsi="Arial"/>
                <w:snapToGrid w:val="0"/>
              </w:rPr>
            </w:pPr>
          </w:p>
        </w:tc>
        <w:tc>
          <w:tcPr>
            <w:tcW w:w="1283" w:type="dxa"/>
          </w:tcPr>
          <w:p w:rsidR="004F7049" w:rsidRDefault="004F7049">
            <w:pPr>
              <w:jc w:val="right"/>
              <w:rPr>
                <w:rFonts w:ascii="Arial" w:hAnsi="Arial"/>
                <w:snapToGrid w:val="0"/>
              </w:rPr>
            </w:pPr>
          </w:p>
        </w:tc>
      </w:tr>
      <w:tr w:rsidR="004F7049">
        <w:tblPrEx>
          <w:tblCellMar>
            <w:top w:w="0" w:type="dxa"/>
            <w:bottom w:w="0" w:type="dxa"/>
          </w:tblCellMar>
        </w:tblPrEx>
        <w:trPr>
          <w:trHeight w:hRule="exact" w:val="359"/>
        </w:trPr>
        <w:tc>
          <w:tcPr>
            <w:tcW w:w="3941" w:type="dxa"/>
          </w:tcPr>
          <w:p w:rsidR="004F7049" w:rsidRDefault="004F7049">
            <w:pPr>
              <w:ind w:left="-30" w:firstLine="30"/>
              <w:rPr>
                <w:rFonts w:ascii="Arial" w:hAnsi="Arial"/>
                <w:b/>
                <w:snapToGrid w:val="0"/>
                <w:color w:val="000000"/>
                <w:u w:val="single"/>
              </w:rPr>
            </w:pPr>
            <w:r>
              <w:rPr>
                <w:rFonts w:ascii="Arial" w:hAnsi="Arial"/>
                <w:b/>
                <w:snapToGrid w:val="0"/>
                <w:color w:val="000000"/>
                <w:u w:val="single"/>
              </w:rPr>
              <w:t>ESTIMATED EXPENDITURES</w:t>
            </w:r>
          </w:p>
        </w:tc>
        <w:tc>
          <w:tcPr>
            <w:tcW w:w="1191" w:type="dxa"/>
          </w:tcPr>
          <w:p w:rsidR="004F7049" w:rsidRDefault="004F7049">
            <w:pPr>
              <w:jc w:val="right"/>
              <w:rPr>
                <w:rFonts w:ascii="Arial" w:hAnsi="Arial"/>
                <w:snapToGrid w:val="0"/>
              </w:rPr>
            </w:pPr>
          </w:p>
        </w:tc>
        <w:tc>
          <w:tcPr>
            <w:tcW w:w="1191" w:type="dxa"/>
          </w:tcPr>
          <w:p w:rsidR="004F7049" w:rsidRDefault="004F7049">
            <w:pPr>
              <w:jc w:val="right"/>
              <w:rPr>
                <w:rFonts w:ascii="Arial" w:hAnsi="Arial"/>
                <w:snapToGrid w:val="0"/>
              </w:rPr>
            </w:pPr>
          </w:p>
        </w:tc>
        <w:tc>
          <w:tcPr>
            <w:tcW w:w="1191" w:type="dxa"/>
          </w:tcPr>
          <w:p w:rsidR="004F7049" w:rsidRDefault="004F7049">
            <w:pPr>
              <w:jc w:val="right"/>
              <w:rPr>
                <w:rFonts w:ascii="Arial" w:hAnsi="Arial"/>
                <w:snapToGrid w:val="0"/>
              </w:rPr>
            </w:pPr>
          </w:p>
        </w:tc>
        <w:tc>
          <w:tcPr>
            <w:tcW w:w="1191" w:type="dxa"/>
          </w:tcPr>
          <w:p w:rsidR="004F7049" w:rsidRDefault="004F7049">
            <w:pPr>
              <w:jc w:val="right"/>
              <w:rPr>
                <w:rFonts w:ascii="Arial" w:hAnsi="Arial"/>
                <w:snapToGrid w:val="0"/>
              </w:rPr>
            </w:pPr>
          </w:p>
        </w:tc>
        <w:tc>
          <w:tcPr>
            <w:tcW w:w="1283" w:type="dxa"/>
          </w:tcPr>
          <w:p w:rsidR="004F7049" w:rsidRDefault="004F7049">
            <w:pPr>
              <w:jc w:val="right"/>
              <w:rPr>
                <w:rFonts w:ascii="Arial" w:hAnsi="Arial"/>
                <w:snapToGrid w:val="0"/>
              </w:rPr>
            </w:pPr>
          </w:p>
        </w:tc>
      </w:tr>
      <w:tr w:rsidR="004F7049">
        <w:tblPrEx>
          <w:tblCellMar>
            <w:top w:w="0" w:type="dxa"/>
            <w:bottom w:w="0" w:type="dxa"/>
          </w:tblCellMar>
        </w:tblPrEx>
        <w:trPr>
          <w:trHeight w:hRule="exact" w:val="359"/>
        </w:trPr>
        <w:tc>
          <w:tcPr>
            <w:tcW w:w="3941" w:type="dxa"/>
          </w:tcPr>
          <w:p w:rsidR="004F7049" w:rsidRDefault="004F7049">
            <w:pPr>
              <w:ind w:left="720" w:firstLine="30"/>
              <w:rPr>
                <w:rFonts w:ascii="Arial" w:hAnsi="Arial"/>
                <w:snapToGrid w:val="0"/>
                <w:color w:val="000000"/>
              </w:rPr>
            </w:pPr>
            <w:r>
              <w:rPr>
                <w:rFonts w:ascii="Arial" w:hAnsi="Arial"/>
                <w:snapToGrid w:val="0"/>
                <w:color w:val="000000"/>
              </w:rPr>
              <w:t>Development Drilling</w:t>
            </w:r>
          </w:p>
        </w:tc>
        <w:tc>
          <w:tcPr>
            <w:tcW w:w="1191" w:type="dxa"/>
          </w:tcPr>
          <w:p w:rsidR="004F7049" w:rsidRDefault="004F7049">
            <w:pPr>
              <w:jc w:val="right"/>
              <w:rPr>
                <w:rFonts w:ascii="Arial" w:hAnsi="Arial" w:cs="Arial"/>
              </w:rPr>
            </w:pPr>
            <w:r>
              <w:rPr>
                <w:rFonts w:ascii="Arial" w:hAnsi="Arial" w:cs="Arial"/>
              </w:rPr>
              <w:t xml:space="preserve">$18.5 </w:t>
            </w:r>
          </w:p>
        </w:tc>
        <w:tc>
          <w:tcPr>
            <w:tcW w:w="1191" w:type="dxa"/>
          </w:tcPr>
          <w:p w:rsidR="004F7049" w:rsidRDefault="004F7049">
            <w:pPr>
              <w:jc w:val="right"/>
              <w:rPr>
                <w:rFonts w:ascii="Arial" w:hAnsi="Arial" w:cs="Arial"/>
              </w:rPr>
            </w:pPr>
            <w:r>
              <w:rPr>
                <w:rFonts w:ascii="Arial" w:hAnsi="Arial" w:cs="Arial"/>
              </w:rPr>
              <w:t xml:space="preserve">$18.5 </w:t>
            </w:r>
          </w:p>
        </w:tc>
        <w:tc>
          <w:tcPr>
            <w:tcW w:w="1191" w:type="dxa"/>
          </w:tcPr>
          <w:p w:rsidR="004F7049" w:rsidRDefault="004F7049">
            <w:pPr>
              <w:jc w:val="right"/>
              <w:rPr>
                <w:rFonts w:ascii="Arial" w:hAnsi="Arial" w:cs="Arial"/>
              </w:rPr>
            </w:pPr>
            <w:r>
              <w:rPr>
                <w:rFonts w:ascii="Arial" w:hAnsi="Arial" w:cs="Arial"/>
              </w:rPr>
              <w:t xml:space="preserve">$18.5 </w:t>
            </w:r>
          </w:p>
        </w:tc>
        <w:tc>
          <w:tcPr>
            <w:tcW w:w="1191" w:type="dxa"/>
          </w:tcPr>
          <w:p w:rsidR="004F7049" w:rsidRDefault="004F7049">
            <w:pPr>
              <w:jc w:val="right"/>
              <w:rPr>
                <w:rFonts w:ascii="Arial" w:hAnsi="Arial" w:cs="Arial"/>
              </w:rPr>
            </w:pPr>
            <w:r>
              <w:rPr>
                <w:rFonts w:ascii="Arial" w:hAnsi="Arial" w:cs="Arial"/>
              </w:rPr>
              <w:t xml:space="preserve">$18.5 </w:t>
            </w:r>
          </w:p>
        </w:tc>
        <w:tc>
          <w:tcPr>
            <w:tcW w:w="1283" w:type="dxa"/>
          </w:tcPr>
          <w:p w:rsidR="004F7049" w:rsidRDefault="004F7049">
            <w:pPr>
              <w:jc w:val="right"/>
              <w:rPr>
                <w:rFonts w:ascii="Arial" w:hAnsi="Arial" w:cs="Arial"/>
              </w:rPr>
            </w:pPr>
            <w:r>
              <w:rPr>
                <w:rFonts w:ascii="Arial" w:hAnsi="Arial" w:cs="Arial"/>
              </w:rPr>
              <w:t xml:space="preserve">$74.0 </w:t>
            </w:r>
          </w:p>
        </w:tc>
      </w:tr>
      <w:tr w:rsidR="004F7049">
        <w:tblPrEx>
          <w:tblCellMar>
            <w:top w:w="0" w:type="dxa"/>
            <w:bottom w:w="0" w:type="dxa"/>
          </w:tblCellMar>
        </w:tblPrEx>
        <w:trPr>
          <w:trHeight w:hRule="exact" w:val="359"/>
        </w:trPr>
        <w:tc>
          <w:tcPr>
            <w:tcW w:w="3941" w:type="dxa"/>
          </w:tcPr>
          <w:p w:rsidR="004F7049" w:rsidRDefault="004F7049">
            <w:pPr>
              <w:ind w:left="720" w:firstLine="30"/>
              <w:rPr>
                <w:rFonts w:ascii="Arial" w:hAnsi="Arial"/>
                <w:snapToGrid w:val="0"/>
                <w:color w:val="000000"/>
              </w:rPr>
            </w:pPr>
            <w:r>
              <w:rPr>
                <w:rFonts w:ascii="Arial" w:hAnsi="Arial"/>
                <w:snapToGrid w:val="0"/>
                <w:color w:val="000000"/>
              </w:rPr>
              <w:t>Operating Expense</w:t>
            </w:r>
          </w:p>
        </w:tc>
        <w:tc>
          <w:tcPr>
            <w:tcW w:w="1191" w:type="dxa"/>
          </w:tcPr>
          <w:p w:rsidR="004F7049" w:rsidRDefault="004F7049">
            <w:pPr>
              <w:jc w:val="right"/>
              <w:rPr>
                <w:rFonts w:ascii="Arial" w:hAnsi="Arial" w:cs="Arial"/>
              </w:rPr>
            </w:pPr>
            <w:r>
              <w:rPr>
                <w:rFonts w:ascii="Arial" w:hAnsi="Arial" w:cs="Arial"/>
              </w:rPr>
              <w:t xml:space="preserve">$24.6 </w:t>
            </w:r>
          </w:p>
        </w:tc>
        <w:tc>
          <w:tcPr>
            <w:tcW w:w="1191" w:type="dxa"/>
          </w:tcPr>
          <w:p w:rsidR="004F7049" w:rsidRDefault="004F7049">
            <w:pPr>
              <w:jc w:val="right"/>
              <w:rPr>
                <w:rFonts w:ascii="Arial" w:hAnsi="Arial" w:cs="Arial"/>
              </w:rPr>
            </w:pPr>
            <w:r>
              <w:rPr>
                <w:rFonts w:ascii="Arial" w:hAnsi="Arial" w:cs="Arial"/>
              </w:rPr>
              <w:t xml:space="preserve">$24.8 </w:t>
            </w:r>
          </w:p>
        </w:tc>
        <w:tc>
          <w:tcPr>
            <w:tcW w:w="1191" w:type="dxa"/>
          </w:tcPr>
          <w:p w:rsidR="004F7049" w:rsidRDefault="004F7049">
            <w:pPr>
              <w:jc w:val="right"/>
              <w:rPr>
                <w:rFonts w:ascii="Arial" w:hAnsi="Arial" w:cs="Arial"/>
              </w:rPr>
            </w:pPr>
            <w:r>
              <w:rPr>
                <w:rFonts w:ascii="Arial" w:hAnsi="Arial" w:cs="Arial"/>
              </w:rPr>
              <w:t xml:space="preserve">$26.9 </w:t>
            </w:r>
          </w:p>
        </w:tc>
        <w:tc>
          <w:tcPr>
            <w:tcW w:w="1191" w:type="dxa"/>
          </w:tcPr>
          <w:p w:rsidR="004F7049" w:rsidRDefault="004F7049">
            <w:pPr>
              <w:jc w:val="right"/>
              <w:rPr>
                <w:rFonts w:ascii="Arial" w:hAnsi="Arial" w:cs="Arial"/>
              </w:rPr>
            </w:pPr>
            <w:r>
              <w:rPr>
                <w:rFonts w:ascii="Arial" w:hAnsi="Arial" w:cs="Arial"/>
              </w:rPr>
              <w:t xml:space="preserve">$27.5 </w:t>
            </w:r>
          </w:p>
        </w:tc>
        <w:tc>
          <w:tcPr>
            <w:tcW w:w="1283" w:type="dxa"/>
          </w:tcPr>
          <w:p w:rsidR="004F7049" w:rsidRDefault="004F7049">
            <w:pPr>
              <w:jc w:val="right"/>
              <w:rPr>
                <w:rFonts w:ascii="Arial" w:hAnsi="Arial" w:cs="Arial"/>
              </w:rPr>
            </w:pPr>
            <w:r>
              <w:rPr>
                <w:rFonts w:ascii="Arial" w:hAnsi="Arial" w:cs="Arial"/>
              </w:rPr>
              <w:t xml:space="preserve">$103.8 </w:t>
            </w:r>
          </w:p>
        </w:tc>
      </w:tr>
      <w:tr w:rsidR="004F7049">
        <w:tblPrEx>
          <w:tblCellMar>
            <w:top w:w="0" w:type="dxa"/>
            <w:bottom w:w="0" w:type="dxa"/>
          </w:tblCellMar>
        </w:tblPrEx>
        <w:trPr>
          <w:trHeight w:hRule="exact" w:val="359"/>
        </w:trPr>
        <w:tc>
          <w:tcPr>
            <w:tcW w:w="3941" w:type="dxa"/>
          </w:tcPr>
          <w:p w:rsidR="004F7049" w:rsidRDefault="004F7049">
            <w:pPr>
              <w:ind w:left="720" w:firstLine="30"/>
              <w:rPr>
                <w:rFonts w:ascii="Arial" w:hAnsi="Arial"/>
                <w:snapToGrid w:val="0"/>
                <w:color w:val="000000"/>
              </w:rPr>
            </w:pPr>
            <w:r>
              <w:rPr>
                <w:rFonts w:ascii="Arial" w:hAnsi="Arial"/>
                <w:snapToGrid w:val="0"/>
                <w:color w:val="000000"/>
              </w:rPr>
              <w:t>Facilities &amp; Maintenance</w:t>
            </w:r>
          </w:p>
        </w:tc>
        <w:tc>
          <w:tcPr>
            <w:tcW w:w="1191" w:type="dxa"/>
          </w:tcPr>
          <w:p w:rsidR="004F7049" w:rsidRDefault="004F7049">
            <w:pPr>
              <w:jc w:val="right"/>
              <w:rPr>
                <w:rFonts w:ascii="Arial" w:hAnsi="Arial" w:cs="Arial"/>
              </w:rPr>
            </w:pPr>
            <w:r>
              <w:rPr>
                <w:rFonts w:ascii="Arial" w:hAnsi="Arial" w:cs="Arial"/>
              </w:rPr>
              <w:t xml:space="preserve">$19.5 </w:t>
            </w:r>
          </w:p>
        </w:tc>
        <w:tc>
          <w:tcPr>
            <w:tcW w:w="1191" w:type="dxa"/>
          </w:tcPr>
          <w:p w:rsidR="004F7049" w:rsidRDefault="004F7049">
            <w:pPr>
              <w:jc w:val="right"/>
              <w:rPr>
                <w:rFonts w:ascii="Arial" w:hAnsi="Arial" w:cs="Arial"/>
              </w:rPr>
            </w:pPr>
            <w:r>
              <w:rPr>
                <w:rFonts w:ascii="Arial" w:hAnsi="Arial" w:cs="Arial"/>
              </w:rPr>
              <w:t xml:space="preserve">$19.5 </w:t>
            </w:r>
          </w:p>
        </w:tc>
        <w:tc>
          <w:tcPr>
            <w:tcW w:w="1191" w:type="dxa"/>
          </w:tcPr>
          <w:p w:rsidR="004F7049" w:rsidRDefault="004F7049">
            <w:pPr>
              <w:jc w:val="right"/>
              <w:rPr>
                <w:rFonts w:ascii="Arial" w:hAnsi="Arial" w:cs="Arial"/>
              </w:rPr>
            </w:pPr>
            <w:r>
              <w:rPr>
                <w:rFonts w:ascii="Arial" w:hAnsi="Arial" w:cs="Arial"/>
              </w:rPr>
              <w:t xml:space="preserve">$19.3 </w:t>
            </w:r>
          </w:p>
        </w:tc>
        <w:tc>
          <w:tcPr>
            <w:tcW w:w="1191" w:type="dxa"/>
          </w:tcPr>
          <w:p w:rsidR="004F7049" w:rsidRDefault="004F7049">
            <w:pPr>
              <w:jc w:val="right"/>
              <w:rPr>
                <w:rFonts w:ascii="Arial" w:hAnsi="Arial" w:cs="Arial"/>
              </w:rPr>
            </w:pPr>
            <w:r>
              <w:rPr>
                <w:rFonts w:ascii="Arial" w:hAnsi="Arial" w:cs="Arial"/>
              </w:rPr>
              <w:t xml:space="preserve">$19.3 </w:t>
            </w:r>
          </w:p>
        </w:tc>
        <w:tc>
          <w:tcPr>
            <w:tcW w:w="1283" w:type="dxa"/>
          </w:tcPr>
          <w:p w:rsidR="004F7049" w:rsidRDefault="004F7049">
            <w:pPr>
              <w:jc w:val="right"/>
              <w:rPr>
                <w:rFonts w:ascii="Arial" w:hAnsi="Arial" w:cs="Arial"/>
              </w:rPr>
            </w:pPr>
            <w:r>
              <w:rPr>
                <w:rFonts w:ascii="Arial" w:hAnsi="Arial" w:cs="Arial"/>
              </w:rPr>
              <w:t xml:space="preserve">$77.6 </w:t>
            </w:r>
          </w:p>
        </w:tc>
      </w:tr>
      <w:tr w:rsidR="004F7049">
        <w:tblPrEx>
          <w:tblCellMar>
            <w:top w:w="0" w:type="dxa"/>
            <w:bottom w:w="0" w:type="dxa"/>
          </w:tblCellMar>
        </w:tblPrEx>
        <w:trPr>
          <w:trHeight w:hRule="exact" w:val="359"/>
        </w:trPr>
        <w:tc>
          <w:tcPr>
            <w:tcW w:w="3941" w:type="dxa"/>
          </w:tcPr>
          <w:p w:rsidR="004F7049" w:rsidRDefault="004F7049">
            <w:pPr>
              <w:ind w:left="720" w:firstLine="30"/>
              <w:rPr>
                <w:rFonts w:ascii="Arial" w:hAnsi="Arial"/>
                <w:snapToGrid w:val="0"/>
                <w:color w:val="000000"/>
              </w:rPr>
            </w:pPr>
            <w:r>
              <w:rPr>
                <w:rFonts w:ascii="Arial" w:hAnsi="Arial"/>
                <w:snapToGrid w:val="0"/>
                <w:color w:val="000000"/>
              </w:rPr>
              <w:t>Unit Field Labor &amp; Administration</w:t>
            </w:r>
          </w:p>
        </w:tc>
        <w:tc>
          <w:tcPr>
            <w:tcW w:w="1191" w:type="dxa"/>
          </w:tcPr>
          <w:p w:rsidR="004F7049" w:rsidRDefault="004F7049">
            <w:pPr>
              <w:jc w:val="right"/>
              <w:rPr>
                <w:rFonts w:ascii="Arial" w:hAnsi="Arial" w:cs="Arial"/>
              </w:rPr>
            </w:pPr>
            <w:r>
              <w:rPr>
                <w:rFonts w:ascii="Arial" w:hAnsi="Arial" w:cs="Arial"/>
              </w:rPr>
              <w:t xml:space="preserve">$13.2 </w:t>
            </w:r>
          </w:p>
        </w:tc>
        <w:tc>
          <w:tcPr>
            <w:tcW w:w="1191" w:type="dxa"/>
          </w:tcPr>
          <w:p w:rsidR="004F7049" w:rsidRDefault="004F7049">
            <w:pPr>
              <w:jc w:val="right"/>
              <w:rPr>
                <w:rFonts w:ascii="Arial" w:hAnsi="Arial" w:cs="Arial"/>
              </w:rPr>
            </w:pPr>
            <w:r>
              <w:rPr>
                <w:rFonts w:ascii="Arial" w:hAnsi="Arial" w:cs="Arial"/>
              </w:rPr>
              <w:t xml:space="preserve">$13.2 </w:t>
            </w:r>
          </w:p>
        </w:tc>
        <w:tc>
          <w:tcPr>
            <w:tcW w:w="1191" w:type="dxa"/>
          </w:tcPr>
          <w:p w:rsidR="004F7049" w:rsidRDefault="004F7049">
            <w:pPr>
              <w:jc w:val="right"/>
              <w:rPr>
                <w:rFonts w:ascii="Arial" w:hAnsi="Arial" w:cs="Arial"/>
              </w:rPr>
            </w:pPr>
            <w:r>
              <w:rPr>
                <w:rFonts w:ascii="Arial" w:hAnsi="Arial" w:cs="Arial"/>
              </w:rPr>
              <w:t xml:space="preserve">$13.2 </w:t>
            </w:r>
          </w:p>
        </w:tc>
        <w:tc>
          <w:tcPr>
            <w:tcW w:w="1191" w:type="dxa"/>
          </w:tcPr>
          <w:p w:rsidR="004F7049" w:rsidRDefault="004F7049">
            <w:pPr>
              <w:jc w:val="right"/>
              <w:rPr>
                <w:rFonts w:ascii="Arial" w:hAnsi="Arial" w:cs="Arial"/>
              </w:rPr>
            </w:pPr>
            <w:r>
              <w:rPr>
                <w:rFonts w:ascii="Arial" w:hAnsi="Arial" w:cs="Arial"/>
              </w:rPr>
              <w:t xml:space="preserve">$13.2 </w:t>
            </w:r>
          </w:p>
        </w:tc>
        <w:tc>
          <w:tcPr>
            <w:tcW w:w="1283" w:type="dxa"/>
          </w:tcPr>
          <w:p w:rsidR="004F7049" w:rsidRDefault="004F7049">
            <w:pPr>
              <w:jc w:val="right"/>
              <w:rPr>
                <w:rFonts w:ascii="Arial" w:hAnsi="Arial" w:cs="Arial"/>
              </w:rPr>
            </w:pPr>
            <w:r>
              <w:rPr>
                <w:rFonts w:ascii="Arial" w:hAnsi="Arial" w:cs="Arial"/>
              </w:rPr>
              <w:t xml:space="preserve">$52.8 </w:t>
            </w:r>
          </w:p>
        </w:tc>
      </w:tr>
      <w:tr w:rsidR="004F7049">
        <w:tblPrEx>
          <w:tblCellMar>
            <w:top w:w="0" w:type="dxa"/>
            <w:bottom w:w="0" w:type="dxa"/>
          </w:tblCellMar>
        </w:tblPrEx>
        <w:trPr>
          <w:trHeight w:hRule="exact" w:val="414"/>
        </w:trPr>
        <w:tc>
          <w:tcPr>
            <w:tcW w:w="3941" w:type="dxa"/>
          </w:tcPr>
          <w:p w:rsidR="004F7049" w:rsidRDefault="004F7049">
            <w:pPr>
              <w:ind w:left="720" w:firstLine="30"/>
              <w:rPr>
                <w:rFonts w:ascii="Arial" w:hAnsi="Arial"/>
                <w:snapToGrid w:val="0"/>
                <w:color w:val="000000"/>
              </w:rPr>
            </w:pPr>
            <w:r>
              <w:rPr>
                <w:rFonts w:ascii="Arial" w:hAnsi="Arial"/>
                <w:snapToGrid w:val="0"/>
                <w:color w:val="000000"/>
              </w:rPr>
              <w:t>Taxes, Permits &amp; Overhead</w:t>
            </w:r>
          </w:p>
        </w:tc>
        <w:tc>
          <w:tcPr>
            <w:tcW w:w="1191" w:type="dxa"/>
          </w:tcPr>
          <w:p w:rsidR="004F7049" w:rsidRDefault="004F7049">
            <w:pPr>
              <w:jc w:val="right"/>
              <w:rPr>
                <w:rFonts w:ascii="Arial" w:hAnsi="Arial" w:cs="Arial"/>
                <w:u w:val="single"/>
              </w:rPr>
            </w:pPr>
            <w:r>
              <w:rPr>
                <w:rFonts w:ascii="Arial" w:hAnsi="Arial" w:cs="Arial"/>
                <w:u w:val="single"/>
              </w:rPr>
              <w:t xml:space="preserve">$10.5 </w:t>
            </w:r>
          </w:p>
        </w:tc>
        <w:tc>
          <w:tcPr>
            <w:tcW w:w="1191" w:type="dxa"/>
          </w:tcPr>
          <w:p w:rsidR="004F7049" w:rsidRDefault="004F7049">
            <w:pPr>
              <w:jc w:val="right"/>
              <w:rPr>
                <w:rFonts w:ascii="Arial" w:hAnsi="Arial" w:cs="Arial"/>
                <w:u w:val="single"/>
              </w:rPr>
            </w:pPr>
            <w:r>
              <w:rPr>
                <w:rFonts w:ascii="Arial" w:hAnsi="Arial" w:cs="Arial"/>
                <w:u w:val="single"/>
              </w:rPr>
              <w:t xml:space="preserve">$10.5 </w:t>
            </w:r>
          </w:p>
        </w:tc>
        <w:tc>
          <w:tcPr>
            <w:tcW w:w="1191" w:type="dxa"/>
          </w:tcPr>
          <w:p w:rsidR="004F7049" w:rsidRDefault="004F7049">
            <w:pPr>
              <w:jc w:val="right"/>
              <w:rPr>
                <w:rFonts w:ascii="Arial" w:hAnsi="Arial" w:cs="Arial"/>
                <w:u w:val="single"/>
              </w:rPr>
            </w:pPr>
            <w:r>
              <w:rPr>
                <w:rFonts w:ascii="Arial" w:hAnsi="Arial" w:cs="Arial"/>
                <w:u w:val="single"/>
              </w:rPr>
              <w:t xml:space="preserve">$10.5 </w:t>
            </w:r>
          </w:p>
        </w:tc>
        <w:tc>
          <w:tcPr>
            <w:tcW w:w="1191" w:type="dxa"/>
          </w:tcPr>
          <w:p w:rsidR="004F7049" w:rsidRDefault="004F7049">
            <w:pPr>
              <w:jc w:val="right"/>
              <w:rPr>
                <w:rFonts w:ascii="Arial" w:hAnsi="Arial" w:cs="Arial"/>
                <w:u w:val="single"/>
              </w:rPr>
            </w:pPr>
            <w:r>
              <w:rPr>
                <w:rFonts w:ascii="Arial" w:hAnsi="Arial" w:cs="Arial"/>
                <w:u w:val="single"/>
              </w:rPr>
              <w:t xml:space="preserve">$10.5 </w:t>
            </w:r>
          </w:p>
        </w:tc>
        <w:tc>
          <w:tcPr>
            <w:tcW w:w="1283" w:type="dxa"/>
          </w:tcPr>
          <w:p w:rsidR="004F7049" w:rsidRDefault="004F7049">
            <w:pPr>
              <w:jc w:val="right"/>
              <w:rPr>
                <w:rFonts w:ascii="Arial" w:hAnsi="Arial" w:cs="Arial"/>
                <w:u w:val="single"/>
              </w:rPr>
            </w:pPr>
            <w:r>
              <w:rPr>
                <w:rFonts w:ascii="Arial" w:hAnsi="Arial" w:cs="Arial"/>
                <w:u w:val="single"/>
              </w:rPr>
              <w:t xml:space="preserve">$42.0 </w:t>
            </w:r>
          </w:p>
        </w:tc>
      </w:tr>
      <w:tr w:rsidR="004F7049">
        <w:tblPrEx>
          <w:tblCellMar>
            <w:top w:w="0" w:type="dxa"/>
            <w:bottom w:w="0" w:type="dxa"/>
          </w:tblCellMar>
        </w:tblPrEx>
        <w:trPr>
          <w:trHeight w:hRule="exact" w:val="359"/>
        </w:trPr>
        <w:tc>
          <w:tcPr>
            <w:tcW w:w="3941" w:type="dxa"/>
          </w:tcPr>
          <w:p w:rsidR="004F7049" w:rsidRDefault="004F7049">
            <w:pPr>
              <w:ind w:left="720" w:firstLine="30"/>
              <w:rPr>
                <w:rFonts w:ascii="Arial" w:hAnsi="Arial"/>
                <w:b/>
                <w:snapToGrid w:val="0"/>
                <w:color w:val="000000"/>
              </w:rPr>
            </w:pPr>
            <w:r>
              <w:rPr>
                <w:rFonts w:ascii="Arial" w:hAnsi="Arial"/>
                <w:b/>
                <w:snapToGrid w:val="0"/>
                <w:color w:val="000000"/>
              </w:rPr>
              <w:t>TOTAL EXPENDITURES</w:t>
            </w:r>
          </w:p>
        </w:tc>
        <w:tc>
          <w:tcPr>
            <w:tcW w:w="1191" w:type="dxa"/>
          </w:tcPr>
          <w:p w:rsidR="004F7049" w:rsidRDefault="004F7049">
            <w:pPr>
              <w:jc w:val="right"/>
              <w:rPr>
                <w:rFonts w:ascii="Arial" w:hAnsi="Arial" w:cs="Arial"/>
                <w:u w:val="single"/>
              </w:rPr>
            </w:pPr>
            <w:r>
              <w:rPr>
                <w:rFonts w:ascii="Arial" w:hAnsi="Arial" w:cs="Arial"/>
                <w:u w:val="single"/>
              </w:rPr>
              <w:t xml:space="preserve">$86.3 </w:t>
            </w:r>
          </w:p>
        </w:tc>
        <w:tc>
          <w:tcPr>
            <w:tcW w:w="1191" w:type="dxa"/>
          </w:tcPr>
          <w:p w:rsidR="004F7049" w:rsidRDefault="004F7049">
            <w:pPr>
              <w:jc w:val="right"/>
              <w:rPr>
                <w:rFonts w:ascii="Arial" w:hAnsi="Arial" w:cs="Arial"/>
                <w:u w:val="single"/>
              </w:rPr>
            </w:pPr>
            <w:r>
              <w:rPr>
                <w:rFonts w:ascii="Arial" w:hAnsi="Arial" w:cs="Arial"/>
                <w:u w:val="single"/>
              </w:rPr>
              <w:t xml:space="preserve">$86.5 </w:t>
            </w:r>
          </w:p>
        </w:tc>
        <w:tc>
          <w:tcPr>
            <w:tcW w:w="1191" w:type="dxa"/>
          </w:tcPr>
          <w:p w:rsidR="004F7049" w:rsidRDefault="004F7049">
            <w:pPr>
              <w:jc w:val="right"/>
              <w:rPr>
                <w:rFonts w:ascii="Arial" w:hAnsi="Arial" w:cs="Arial"/>
                <w:u w:val="single"/>
              </w:rPr>
            </w:pPr>
            <w:r>
              <w:rPr>
                <w:rFonts w:ascii="Arial" w:hAnsi="Arial" w:cs="Arial"/>
                <w:u w:val="single"/>
              </w:rPr>
              <w:t xml:space="preserve">$88.4 </w:t>
            </w:r>
          </w:p>
        </w:tc>
        <w:tc>
          <w:tcPr>
            <w:tcW w:w="1191" w:type="dxa"/>
          </w:tcPr>
          <w:p w:rsidR="004F7049" w:rsidRDefault="004F7049">
            <w:pPr>
              <w:jc w:val="right"/>
              <w:rPr>
                <w:rFonts w:ascii="Arial" w:hAnsi="Arial" w:cs="Arial"/>
                <w:u w:val="single"/>
              </w:rPr>
            </w:pPr>
            <w:r>
              <w:rPr>
                <w:rFonts w:ascii="Arial" w:hAnsi="Arial" w:cs="Arial"/>
                <w:u w:val="single"/>
              </w:rPr>
              <w:t xml:space="preserve">$89.0 </w:t>
            </w:r>
          </w:p>
        </w:tc>
        <w:tc>
          <w:tcPr>
            <w:tcW w:w="1283" w:type="dxa"/>
          </w:tcPr>
          <w:p w:rsidR="004F7049" w:rsidRDefault="004F7049">
            <w:pPr>
              <w:jc w:val="right"/>
              <w:rPr>
                <w:rFonts w:ascii="Arial" w:hAnsi="Arial" w:cs="Arial"/>
                <w:u w:val="single"/>
              </w:rPr>
            </w:pPr>
            <w:r>
              <w:rPr>
                <w:rFonts w:ascii="Arial" w:hAnsi="Arial" w:cs="Arial"/>
                <w:u w:val="single"/>
              </w:rPr>
              <w:t xml:space="preserve">$350.2 </w:t>
            </w:r>
          </w:p>
        </w:tc>
      </w:tr>
      <w:tr w:rsidR="004F7049">
        <w:tblPrEx>
          <w:tblCellMar>
            <w:top w:w="0" w:type="dxa"/>
            <w:bottom w:w="0" w:type="dxa"/>
          </w:tblCellMar>
        </w:tblPrEx>
        <w:trPr>
          <w:trHeight w:hRule="exact" w:val="359"/>
        </w:trPr>
        <w:tc>
          <w:tcPr>
            <w:tcW w:w="3941" w:type="dxa"/>
          </w:tcPr>
          <w:p w:rsidR="004F7049" w:rsidRDefault="004F7049">
            <w:pPr>
              <w:ind w:left="-30" w:firstLine="30"/>
              <w:jc w:val="right"/>
              <w:rPr>
                <w:rFonts w:ascii="Arial" w:hAnsi="Arial"/>
                <w:snapToGrid w:val="0"/>
                <w:color w:val="000000"/>
              </w:rPr>
            </w:pPr>
          </w:p>
        </w:tc>
        <w:tc>
          <w:tcPr>
            <w:tcW w:w="1191" w:type="dxa"/>
          </w:tcPr>
          <w:p w:rsidR="004F7049" w:rsidRDefault="004F7049">
            <w:pPr>
              <w:jc w:val="right"/>
              <w:rPr>
                <w:rFonts w:ascii="Arial" w:hAnsi="Arial"/>
                <w:snapToGrid w:val="0"/>
              </w:rPr>
            </w:pPr>
          </w:p>
        </w:tc>
        <w:tc>
          <w:tcPr>
            <w:tcW w:w="1191" w:type="dxa"/>
          </w:tcPr>
          <w:p w:rsidR="004F7049" w:rsidRDefault="004F7049">
            <w:pPr>
              <w:jc w:val="right"/>
              <w:rPr>
                <w:rFonts w:ascii="Arial" w:hAnsi="Arial"/>
                <w:snapToGrid w:val="0"/>
              </w:rPr>
            </w:pPr>
          </w:p>
        </w:tc>
        <w:tc>
          <w:tcPr>
            <w:tcW w:w="1191" w:type="dxa"/>
          </w:tcPr>
          <w:p w:rsidR="004F7049" w:rsidRDefault="004F7049">
            <w:pPr>
              <w:jc w:val="right"/>
              <w:rPr>
                <w:rFonts w:ascii="Arial" w:hAnsi="Arial"/>
                <w:snapToGrid w:val="0"/>
              </w:rPr>
            </w:pPr>
          </w:p>
        </w:tc>
        <w:tc>
          <w:tcPr>
            <w:tcW w:w="1191" w:type="dxa"/>
          </w:tcPr>
          <w:p w:rsidR="004F7049" w:rsidRDefault="004F7049">
            <w:pPr>
              <w:jc w:val="right"/>
              <w:rPr>
                <w:rFonts w:ascii="Arial" w:hAnsi="Arial"/>
                <w:snapToGrid w:val="0"/>
              </w:rPr>
            </w:pPr>
          </w:p>
        </w:tc>
        <w:tc>
          <w:tcPr>
            <w:tcW w:w="1283" w:type="dxa"/>
          </w:tcPr>
          <w:p w:rsidR="004F7049" w:rsidRDefault="004F7049">
            <w:pPr>
              <w:jc w:val="right"/>
              <w:rPr>
                <w:rFonts w:ascii="Arial" w:hAnsi="Arial"/>
                <w:snapToGrid w:val="0"/>
              </w:rPr>
            </w:pPr>
          </w:p>
        </w:tc>
      </w:tr>
      <w:tr w:rsidR="004F7049">
        <w:tblPrEx>
          <w:tblCellMar>
            <w:top w:w="0" w:type="dxa"/>
            <w:bottom w:w="0" w:type="dxa"/>
          </w:tblCellMar>
        </w:tblPrEx>
        <w:trPr>
          <w:trHeight w:hRule="exact" w:val="359"/>
        </w:trPr>
        <w:tc>
          <w:tcPr>
            <w:tcW w:w="3941" w:type="dxa"/>
          </w:tcPr>
          <w:p w:rsidR="004F7049" w:rsidRDefault="004F7049">
            <w:pPr>
              <w:ind w:left="-30" w:firstLine="30"/>
              <w:rPr>
                <w:rFonts w:ascii="Arial" w:hAnsi="Arial"/>
                <w:b/>
                <w:snapToGrid w:val="0"/>
                <w:color w:val="000000"/>
                <w:u w:val="single"/>
              </w:rPr>
            </w:pPr>
            <w:r>
              <w:rPr>
                <w:rFonts w:ascii="Arial" w:hAnsi="Arial"/>
                <w:b/>
                <w:snapToGrid w:val="0"/>
                <w:color w:val="000000"/>
                <w:u w:val="single"/>
              </w:rPr>
              <w:t>NET PROFIT</w:t>
            </w:r>
          </w:p>
        </w:tc>
        <w:tc>
          <w:tcPr>
            <w:tcW w:w="1191" w:type="dxa"/>
          </w:tcPr>
          <w:p w:rsidR="004F7049" w:rsidRDefault="004F7049">
            <w:pPr>
              <w:jc w:val="right"/>
              <w:rPr>
                <w:rFonts w:ascii="Arial" w:hAnsi="Arial" w:cs="Arial"/>
              </w:rPr>
            </w:pPr>
            <w:r>
              <w:rPr>
                <w:rFonts w:ascii="Arial" w:hAnsi="Arial" w:cs="Arial"/>
              </w:rPr>
              <w:t xml:space="preserve">$16.6 </w:t>
            </w:r>
          </w:p>
        </w:tc>
        <w:tc>
          <w:tcPr>
            <w:tcW w:w="1191" w:type="dxa"/>
          </w:tcPr>
          <w:p w:rsidR="004F7049" w:rsidRDefault="004F7049">
            <w:pPr>
              <w:jc w:val="right"/>
              <w:rPr>
                <w:rFonts w:ascii="Arial" w:hAnsi="Arial" w:cs="Arial"/>
              </w:rPr>
            </w:pPr>
            <w:r>
              <w:rPr>
                <w:rFonts w:ascii="Arial" w:hAnsi="Arial" w:cs="Arial"/>
              </w:rPr>
              <w:t xml:space="preserve">$15.3 </w:t>
            </w:r>
          </w:p>
        </w:tc>
        <w:tc>
          <w:tcPr>
            <w:tcW w:w="1191" w:type="dxa"/>
          </w:tcPr>
          <w:p w:rsidR="004F7049" w:rsidRDefault="004F7049">
            <w:pPr>
              <w:jc w:val="right"/>
              <w:rPr>
                <w:rFonts w:ascii="Arial" w:hAnsi="Arial" w:cs="Arial"/>
              </w:rPr>
            </w:pPr>
            <w:r>
              <w:rPr>
                <w:rFonts w:ascii="Arial" w:hAnsi="Arial" w:cs="Arial"/>
              </w:rPr>
              <w:t xml:space="preserve">$8.0 </w:t>
            </w:r>
          </w:p>
        </w:tc>
        <w:tc>
          <w:tcPr>
            <w:tcW w:w="1191" w:type="dxa"/>
          </w:tcPr>
          <w:p w:rsidR="004F7049" w:rsidRDefault="004F7049">
            <w:pPr>
              <w:jc w:val="right"/>
              <w:rPr>
                <w:rFonts w:ascii="Arial" w:hAnsi="Arial" w:cs="Arial"/>
              </w:rPr>
            </w:pPr>
            <w:r>
              <w:rPr>
                <w:rFonts w:ascii="Arial" w:hAnsi="Arial" w:cs="Arial"/>
              </w:rPr>
              <w:t xml:space="preserve">$9.1 </w:t>
            </w:r>
          </w:p>
        </w:tc>
        <w:tc>
          <w:tcPr>
            <w:tcW w:w="1283" w:type="dxa"/>
          </w:tcPr>
          <w:p w:rsidR="004F7049" w:rsidRDefault="004F7049">
            <w:pPr>
              <w:jc w:val="right"/>
              <w:rPr>
                <w:rFonts w:ascii="Arial" w:hAnsi="Arial" w:cs="Arial"/>
              </w:rPr>
            </w:pPr>
            <w:r>
              <w:rPr>
                <w:rFonts w:ascii="Arial" w:hAnsi="Arial" w:cs="Arial"/>
              </w:rPr>
              <w:t xml:space="preserve">$49.0 </w:t>
            </w:r>
          </w:p>
        </w:tc>
      </w:tr>
    </w:tbl>
    <w:p w:rsidR="004F7049" w:rsidRDefault="004F7049">
      <w:pPr>
        <w:pStyle w:val="Heading2"/>
        <w:rPr>
          <w:b/>
          <w:color w:val="FF00FF"/>
        </w:rPr>
      </w:pPr>
      <w:r>
        <w:rPr>
          <w:b/>
          <w:color w:val="FF00FF"/>
        </w:rPr>
        <w:br w:type="page"/>
      </w:r>
      <w:bookmarkStart w:id="3" w:name="_Toc222647833"/>
      <w:r>
        <w:rPr>
          <w:rFonts w:ascii="Arial" w:hAnsi="Arial" w:cs="Arial"/>
          <w:b/>
          <w:bCs/>
        </w:rPr>
        <w:lastRenderedPageBreak/>
        <w:t>C. Major Planning Assumptions</w:t>
      </w:r>
      <w:bookmarkEnd w:id="3"/>
    </w:p>
    <w:p w:rsidR="004F7049" w:rsidRDefault="004F7049">
      <w:pPr>
        <w:pStyle w:val="BodyText2"/>
        <w:rPr>
          <w:b/>
          <w:color w:val="FF00FF"/>
        </w:rPr>
      </w:pPr>
    </w:p>
    <w:p w:rsidR="004F7049" w:rsidRDefault="004F7049">
      <w:pPr>
        <w:pStyle w:val="BodyText2"/>
        <w:rPr>
          <w:b/>
          <w:color w:val="FF00FF"/>
        </w:rPr>
      </w:pPr>
    </w:p>
    <w:tbl>
      <w:tblPr>
        <w:tblW w:w="9780" w:type="dxa"/>
        <w:tblInd w:w="-570" w:type="dxa"/>
        <w:tblLayout w:type="fixed"/>
        <w:tblCellMar>
          <w:left w:w="30" w:type="dxa"/>
          <w:right w:w="30" w:type="dxa"/>
        </w:tblCellMar>
        <w:tblLook w:val="0000"/>
      </w:tblPr>
      <w:tblGrid>
        <w:gridCol w:w="3281"/>
        <w:gridCol w:w="1303"/>
        <w:gridCol w:w="1303"/>
        <w:gridCol w:w="1303"/>
        <w:gridCol w:w="1304"/>
        <w:gridCol w:w="1286"/>
      </w:tblGrid>
      <w:tr w:rsidR="004F7049">
        <w:tblPrEx>
          <w:tblCellMar>
            <w:top w:w="0" w:type="dxa"/>
            <w:bottom w:w="0" w:type="dxa"/>
          </w:tblCellMar>
        </w:tblPrEx>
        <w:trPr>
          <w:cantSplit/>
          <w:trHeight w:val="300"/>
        </w:trPr>
        <w:tc>
          <w:tcPr>
            <w:tcW w:w="5887" w:type="dxa"/>
            <w:gridSpan w:val="3"/>
          </w:tcPr>
          <w:p w:rsidR="004F7049" w:rsidRDefault="004F7049">
            <w:pPr>
              <w:pStyle w:val="Heading1"/>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300"/>
        </w:trPr>
        <w:tc>
          <w:tcPr>
            <w:tcW w:w="3281" w:type="dxa"/>
          </w:tcPr>
          <w:p w:rsidR="004F7049" w:rsidRDefault="004F7049">
            <w:pPr>
              <w:jc w:val="right"/>
              <w:rPr>
                <w:rFonts w:ascii="Arial" w:hAnsi="Arial"/>
                <w:b/>
                <w:snapToGrid w:val="0"/>
                <w:color w:val="000000"/>
                <w:sz w:val="28"/>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center"/>
              <w:rPr>
                <w:rFonts w:ascii="Arial" w:hAnsi="Arial"/>
                <w:b/>
                <w:snapToGrid w:val="0"/>
                <w:color w:val="000000"/>
              </w:rPr>
            </w:pPr>
            <w:r>
              <w:rPr>
                <w:rFonts w:ascii="Arial" w:hAnsi="Arial"/>
                <w:b/>
                <w:snapToGrid w:val="0"/>
                <w:color w:val="000000"/>
              </w:rPr>
              <w:t>BUDGET</w:t>
            </w:r>
          </w:p>
        </w:tc>
        <w:tc>
          <w:tcPr>
            <w:tcW w:w="1303" w:type="dxa"/>
          </w:tcPr>
          <w:p w:rsidR="004F7049" w:rsidRDefault="004F7049">
            <w:pPr>
              <w:jc w:val="center"/>
              <w:rPr>
                <w:rFonts w:ascii="Arial" w:hAnsi="Arial"/>
                <w:b/>
                <w:snapToGrid w:val="0"/>
                <w:color w:val="000000"/>
              </w:rPr>
            </w:pPr>
            <w:r>
              <w:rPr>
                <w:rFonts w:ascii="Arial" w:hAnsi="Arial"/>
                <w:b/>
                <w:snapToGrid w:val="0"/>
                <w:color w:val="000000"/>
              </w:rPr>
              <w:t>BUDGET</w:t>
            </w:r>
          </w:p>
        </w:tc>
        <w:tc>
          <w:tcPr>
            <w:tcW w:w="1303" w:type="dxa"/>
          </w:tcPr>
          <w:p w:rsidR="004F7049" w:rsidRDefault="004F7049">
            <w:pPr>
              <w:jc w:val="center"/>
              <w:rPr>
                <w:rFonts w:ascii="Arial" w:hAnsi="Arial"/>
                <w:b/>
                <w:snapToGrid w:val="0"/>
                <w:color w:val="000000"/>
              </w:rPr>
            </w:pPr>
            <w:r>
              <w:rPr>
                <w:rFonts w:ascii="Arial" w:hAnsi="Arial"/>
                <w:b/>
                <w:snapToGrid w:val="0"/>
                <w:color w:val="000000"/>
              </w:rPr>
              <w:t>BUDGET</w:t>
            </w:r>
          </w:p>
        </w:tc>
        <w:tc>
          <w:tcPr>
            <w:tcW w:w="1304" w:type="dxa"/>
          </w:tcPr>
          <w:p w:rsidR="004F7049" w:rsidRDefault="004F7049">
            <w:pPr>
              <w:jc w:val="center"/>
              <w:rPr>
                <w:rFonts w:ascii="Arial" w:hAnsi="Arial"/>
                <w:b/>
                <w:snapToGrid w:val="0"/>
                <w:color w:val="000000"/>
              </w:rPr>
            </w:pPr>
            <w:r>
              <w:rPr>
                <w:rFonts w:ascii="Arial" w:hAnsi="Arial"/>
                <w:b/>
                <w:snapToGrid w:val="0"/>
                <w:color w:val="000000"/>
              </w:rPr>
              <w:t>BUDGET</w:t>
            </w:r>
          </w:p>
        </w:tc>
        <w:tc>
          <w:tcPr>
            <w:tcW w:w="1286" w:type="dxa"/>
          </w:tcPr>
          <w:p w:rsidR="004F7049" w:rsidRDefault="004F7049">
            <w:pPr>
              <w:jc w:val="center"/>
              <w:rPr>
                <w:rFonts w:ascii="Arial" w:hAnsi="Arial"/>
                <w:b/>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center"/>
              <w:rPr>
                <w:rFonts w:ascii="Arial" w:hAnsi="Arial"/>
                <w:b/>
                <w:snapToGrid w:val="0"/>
                <w:color w:val="000000"/>
              </w:rPr>
            </w:pPr>
            <w:r>
              <w:rPr>
                <w:rFonts w:ascii="Arial" w:hAnsi="Arial"/>
                <w:b/>
                <w:snapToGrid w:val="0"/>
                <w:color w:val="000000"/>
              </w:rPr>
              <w:t>FIRST</w:t>
            </w:r>
          </w:p>
        </w:tc>
        <w:tc>
          <w:tcPr>
            <w:tcW w:w="1303" w:type="dxa"/>
          </w:tcPr>
          <w:p w:rsidR="004F7049" w:rsidRDefault="004F7049">
            <w:pPr>
              <w:jc w:val="center"/>
              <w:rPr>
                <w:rFonts w:ascii="Arial" w:hAnsi="Arial"/>
                <w:b/>
                <w:snapToGrid w:val="0"/>
                <w:color w:val="000000"/>
              </w:rPr>
            </w:pPr>
            <w:r>
              <w:rPr>
                <w:rFonts w:ascii="Arial" w:hAnsi="Arial"/>
                <w:b/>
                <w:snapToGrid w:val="0"/>
                <w:color w:val="000000"/>
              </w:rPr>
              <w:t>SECOND</w:t>
            </w:r>
          </w:p>
        </w:tc>
        <w:tc>
          <w:tcPr>
            <w:tcW w:w="1303" w:type="dxa"/>
          </w:tcPr>
          <w:p w:rsidR="004F7049" w:rsidRDefault="004F7049">
            <w:pPr>
              <w:jc w:val="center"/>
              <w:rPr>
                <w:rFonts w:ascii="Arial" w:hAnsi="Arial"/>
                <w:b/>
                <w:snapToGrid w:val="0"/>
                <w:color w:val="000000"/>
              </w:rPr>
            </w:pPr>
            <w:r>
              <w:rPr>
                <w:rFonts w:ascii="Arial" w:hAnsi="Arial"/>
                <w:b/>
                <w:snapToGrid w:val="0"/>
                <w:color w:val="000000"/>
              </w:rPr>
              <w:t>THIRD</w:t>
            </w:r>
          </w:p>
        </w:tc>
        <w:tc>
          <w:tcPr>
            <w:tcW w:w="1304" w:type="dxa"/>
          </w:tcPr>
          <w:p w:rsidR="004F7049" w:rsidRDefault="004F7049">
            <w:pPr>
              <w:jc w:val="center"/>
              <w:rPr>
                <w:rFonts w:ascii="Arial" w:hAnsi="Arial"/>
                <w:b/>
                <w:snapToGrid w:val="0"/>
                <w:color w:val="000000"/>
              </w:rPr>
            </w:pPr>
            <w:r>
              <w:rPr>
                <w:rFonts w:ascii="Arial" w:hAnsi="Arial"/>
                <w:b/>
                <w:snapToGrid w:val="0"/>
                <w:color w:val="000000"/>
              </w:rPr>
              <w:t>FOURTH</w:t>
            </w:r>
          </w:p>
        </w:tc>
        <w:tc>
          <w:tcPr>
            <w:tcW w:w="1286" w:type="dxa"/>
          </w:tcPr>
          <w:p w:rsidR="004F7049" w:rsidRDefault="004F7049">
            <w:pPr>
              <w:jc w:val="center"/>
              <w:rPr>
                <w:rFonts w:ascii="Arial" w:hAnsi="Arial"/>
                <w:b/>
                <w:snapToGrid w:val="0"/>
                <w:color w:val="000000"/>
              </w:rPr>
            </w:pPr>
            <w:r>
              <w:rPr>
                <w:rFonts w:ascii="Arial" w:hAnsi="Arial"/>
                <w:b/>
                <w:snapToGrid w:val="0"/>
                <w:color w:val="000000"/>
              </w:rPr>
              <w:t>BUDGET</w:t>
            </w: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center"/>
              <w:rPr>
                <w:rFonts w:ascii="Arial" w:hAnsi="Arial"/>
                <w:b/>
                <w:snapToGrid w:val="0"/>
                <w:color w:val="000000"/>
              </w:rPr>
            </w:pPr>
            <w:r>
              <w:rPr>
                <w:rFonts w:ascii="Arial" w:hAnsi="Arial"/>
                <w:b/>
                <w:snapToGrid w:val="0"/>
                <w:color w:val="000000"/>
              </w:rPr>
              <w:t>QUARTER</w:t>
            </w:r>
          </w:p>
        </w:tc>
        <w:tc>
          <w:tcPr>
            <w:tcW w:w="1303" w:type="dxa"/>
          </w:tcPr>
          <w:p w:rsidR="004F7049" w:rsidRDefault="004F7049">
            <w:pPr>
              <w:jc w:val="center"/>
              <w:rPr>
                <w:rFonts w:ascii="Arial" w:hAnsi="Arial"/>
                <w:b/>
                <w:snapToGrid w:val="0"/>
                <w:color w:val="000000"/>
              </w:rPr>
            </w:pPr>
            <w:r>
              <w:rPr>
                <w:rFonts w:ascii="Arial" w:hAnsi="Arial"/>
                <w:b/>
                <w:snapToGrid w:val="0"/>
                <w:color w:val="000000"/>
              </w:rPr>
              <w:t>QUARTER</w:t>
            </w:r>
          </w:p>
        </w:tc>
        <w:tc>
          <w:tcPr>
            <w:tcW w:w="1303" w:type="dxa"/>
          </w:tcPr>
          <w:p w:rsidR="004F7049" w:rsidRDefault="004F7049">
            <w:pPr>
              <w:jc w:val="center"/>
              <w:rPr>
                <w:rFonts w:ascii="Arial" w:hAnsi="Arial"/>
                <w:b/>
                <w:snapToGrid w:val="0"/>
                <w:color w:val="000000"/>
              </w:rPr>
            </w:pPr>
            <w:r>
              <w:rPr>
                <w:rFonts w:ascii="Arial" w:hAnsi="Arial"/>
                <w:b/>
                <w:snapToGrid w:val="0"/>
                <w:color w:val="000000"/>
              </w:rPr>
              <w:t>QUARTER</w:t>
            </w:r>
          </w:p>
        </w:tc>
        <w:tc>
          <w:tcPr>
            <w:tcW w:w="1304" w:type="dxa"/>
          </w:tcPr>
          <w:p w:rsidR="004F7049" w:rsidRDefault="004F7049">
            <w:pPr>
              <w:jc w:val="center"/>
              <w:rPr>
                <w:rFonts w:ascii="Arial" w:hAnsi="Arial"/>
                <w:b/>
                <w:snapToGrid w:val="0"/>
                <w:color w:val="000000"/>
              </w:rPr>
            </w:pPr>
            <w:r>
              <w:rPr>
                <w:rFonts w:ascii="Arial" w:hAnsi="Arial"/>
                <w:b/>
                <w:snapToGrid w:val="0"/>
                <w:color w:val="000000"/>
              </w:rPr>
              <w:t>QUARTER</w:t>
            </w:r>
          </w:p>
        </w:tc>
        <w:tc>
          <w:tcPr>
            <w:tcW w:w="1286" w:type="dxa"/>
          </w:tcPr>
          <w:p w:rsidR="004F7049" w:rsidRDefault="004F7049">
            <w:pPr>
              <w:jc w:val="center"/>
              <w:rPr>
                <w:rFonts w:ascii="Arial" w:hAnsi="Arial"/>
                <w:b/>
                <w:snapToGrid w:val="0"/>
                <w:color w:val="000000"/>
              </w:rPr>
            </w:pPr>
            <w:r>
              <w:rPr>
                <w:rFonts w:ascii="Arial" w:hAnsi="Arial"/>
                <w:b/>
                <w:snapToGrid w:val="0"/>
                <w:color w:val="000000"/>
              </w:rPr>
              <w:t>TOTAL</w:t>
            </w: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center"/>
              <w:rPr>
                <w:rFonts w:ascii="Arial" w:hAnsi="Arial"/>
                <w:b/>
                <w:snapToGrid w:val="0"/>
                <w:color w:val="000000"/>
                <w:u w:val="single"/>
              </w:rPr>
            </w:pPr>
            <w:r>
              <w:rPr>
                <w:rFonts w:ascii="Arial" w:hAnsi="Arial"/>
                <w:b/>
                <w:snapToGrid w:val="0"/>
                <w:color w:val="000000"/>
                <w:u w:val="single"/>
              </w:rPr>
              <w:t>FY09/10</w:t>
            </w:r>
          </w:p>
        </w:tc>
        <w:tc>
          <w:tcPr>
            <w:tcW w:w="1303" w:type="dxa"/>
          </w:tcPr>
          <w:p w:rsidR="004F7049" w:rsidRDefault="004F7049">
            <w:pPr>
              <w:jc w:val="center"/>
              <w:rPr>
                <w:rFonts w:ascii="Arial" w:hAnsi="Arial"/>
                <w:b/>
                <w:snapToGrid w:val="0"/>
                <w:color w:val="000000"/>
                <w:u w:val="single"/>
              </w:rPr>
            </w:pPr>
            <w:r>
              <w:rPr>
                <w:rFonts w:ascii="Arial" w:hAnsi="Arial"/>
                <w:b/>
                <w:snapToGrid w:val="0"/>
                <w:color w:val="000000"/>
                <w:u w:val="single"/>
              </w:rPr>
              <w:t>FY09/10</w:t>
            </w:r>
          </w:p>
        </w:tc>
        <w:tc>
          <w:tcPr>
            <w:tcW w:w="1303" w:type="dxa"/>
          </w:tcPr>
          <w:p w:rsidR="004F7049" w:rsidRDefault="004F7049">
            <w:pPr>
              <w:jc w:val="center"/>
              <w:rPr>
                <w:rFonts w:ascii="Arial" w:hAnsi="Arial"/>
                <w:b/>
                <w:snapToGrid w:val="0"/>
                <w:color w:val="000000"/>
                <w:u w:val="single"/>
              </w:rPr>
            </w:pPr>
            <w:r>
              <w:rPr>
                <w:rFonts w:ascii="Arial" w:hAnsi="Arial"/>
                <w:b/>
                <w:snapToGrid w:val="0"/>
                <w:color w:val="000000"/>
                <w:u w:val="single"/>
              </w:rPr>
              <w:t>FY09/10</w:t>
            </w:r>
          </w:p>
        </w:tc>
        <w:tc>
          <w:tcPr>
            <w:tcW w:w="1304" w:type="dxa"/>
          </w:tcPr>
          <w:p w:rsidR="004F7049" w:rsidRDefault="004F7049">
            <w:pPr>
              <w:jc w:val="center"/>
              <w:rPr>
                <w:rFonts w:ascii="Arial" w:hAnsi="Arial"/>
                <w:b/>
                <w:snapToGrid w:val="0"/>
                <w:color w:val="000000"/>
                <w:u w:val="single"/>
              </w:rPr>
            </w:pPr>
            <w:r>
              <w:rPr>
                <w:rFonts w:ascii="Arial" w:hAnsi="Arial"/>
                <w:b/>
                <w:snapToGrid w:val="0"/>
                <w:color w:val="000000"/>
                <w:u w:val="single"/>
              </w:rPr>
              <w:t>FY09/10</w:t>
            </w:r>
          </w:p>
        </w:tc>
        <w:tc>
          <w:tcPr>
            <w:tcW w:w="1286" w:type="dxa"/>
          </w:tcPr>
          <w:p w:rsidR="004F7049" w:rsidRDefault="004F7049">
            <w:pPr>
              <w:jc w:val="center"/>
              <w:rPr>
                <w:rFonts w:ascii="Arial" w:hAnsi="Arial"/>
                <w:b/>
                <w:snapToGrid w:val="0"/>
                <w:color w:val="000000"/>
                <w:u w:val="single"/>
              </w:rPr>
            </w:pPr>
            <w:r>
              <w:rPr>
                <w:rFonts w:ascii="Arial" w:hAnsi="Arial"/>
                <w:b/>
                <w:snapToGrid w:val="0"/>
                <w:color w:val="000000"/>
                <w:u w:val="single"/>
              </w:rPr>
              <w:t>FY09/10</w:t>
            </w: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rPr>
                <w:rFonts w:ascii="Arial" w:hAnsi="Arial"/>
                <w:b/>
                <w:snapToGrid w:val="0"/>
                <w:color w:val="000000"/>
                <w:u w:val="single"/>
              </w:rPr>
            </w:pPr>
            <w:bookmarkStart w:id="4" w:name="OLE_LINK2"/>
            <w:r>
              <w:rPr>
                <w:rFonts w:ascii="Arial" w:hAnsi="Arial"/>
                <w:b/>
                <w:snapToGrid w:val="0"/>
                <w:color w:val="000000"/>
                <w:u w:val="single"/>
              </w:rPr>
              <w:t>OIL PRODUCTION</w:t>
            </w: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r>
              <w:rPr>
                <w:rFonts w:ascii="Arial" w:hAnsi="Arial"/>
                <w:snapToGrid w:val="0"/>
                <w:color w:val="000000"/>
              </w:rPr>
              <w:t>PRODUCED (1000 BBL)</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2,388 </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2,362 </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2,256 </w:t>
            </w:r>
          </w:p>
        </w:tc>
        <w:tc>
          <w:tcPr>
            <w:tcW w:w="1304" w:type="dxa"/>
          </w:tcPr>
          <w:p w:rsidR="004F7049" w:rsidRDefault="004F7049">
            <w:pPr>
              <w:jc w:val="right"/>
              <w:rPr>
                <w:rFonts w:ascii="Arial" w:hAnsi="Arial"/>
                <w:snapToGrid w:val="0"/>
                <w:color w:val="000000"/>
              </w:rPr>
            </w:pPr>
            <w:r>
              <w:rPr>
                <w:rFonts w:ascii="Arial" w:hAnsi="Arial"/>
                <w:snapToGrid w:val="0"/>
                <w:color w:val="000000"/>
              </w:rPr>
              <w:t xml:space="preserve"> 2,288 </w:t>
            </w:r>
          </w:p>
        </w:tc>
        <w:tc>
          <w:tcPr>
            <w:tcW w:w="1286" w:type="dxa"/>
            <w:vAlign w:val="bottom"/>
          </w:tcPr>
          <w:p w:rsidR="004F7049" w:rsidRDefault="004F7049">
            <w:pPr>
              <w:jc w:val="right"/>
              <w:rPr>
                <w:rFonts w:ascii="Arial" w:hAnsi="Arial"/>
                <w:snapToGrid w:val="0"/>
                <w:color w:val="000000"/>
              </w:rPr>
            </w:pPr>
            <w:r>
              <w:rPr>
                <w:rFonts w:ascii="Arial" w:hAnsi="Arial"/>
                <w:snapToGrid w:val="0"/>
                <w:color w:val="000000"/>
              </w:rPr>
              <w:t xml:space="preserve">9,294 </w:t>
            </w: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r>
              <w:rPr>
                <w:rFonts w:ascii="Arial" w:hAnsi="Arial"/>
                <w:snapToGrid w:val="0"/>
                <w:color w:val="000000"/>
              </w:rPr>
              <w:t>(AVERAGE B/D)</w:t>
            </w:r>
          </w:p>
        </w:tc>
        <w:tc>
          <w:tcPr>
            <w:tcW w:w="1303" w:type="dxa"/>
          </w:tcPr>
          <w:p w:rsidR="004F7049" w:rsidRDefault="004F7049">
            <w:pPr>
              <w:jc w:val="right"/>
              <w:rPr>
                <w:rFonts w:ascii="Arial" w:hAnsi="Arial"/>
                <w:snapToGrid w:val="0"/>
                <w:color w:val="000000"/>
              </w:rPr>
            </w:pPr>
            <w:r>
              <w:rPr>
                <w:rFonts w:ascii="Arial" w:hAnsi="Arial"/>
                <w:snapToGrid w:val="0"/>
                <w:color w:val="000000"/>
              </w:rPr>
              <w:t>25,956</w:t>
            </w:r>
          </w:p>
        </w:tc>
        <w:tc>
          <w:tcPr>
            <w:tcW w:w="1303" w:type="dxa"/>
          </w:tcPr>
          <w:p w:rsidR="004F7049" w:rsidRDefault="004F7049">
            <w:pPr>
              <w:jc w:val="right"/>
              <w:rPr>
                <w:rFonts w:ascii="Arial" w:hAnsi="Arial"/>
                <w:snapToGrid w:val="0"/>
                <w:color w:val="000000"/>
              </w:rPr>
            </w:pPr>
            <w:r>
              <w:rPr>
                <w:rFonts w:ascii="Arial" w:hAnsi="Arial"/>
                <w:snapToGrid w:val="0"/>
                <w:color w:val="000000"/>
              </w:rPr>
              <w:t>25,671</w:t>
            </w:r>
          </w:p>
        </w:tc>
        <w:tc>
          <w:tcPr>
            <w:tcW w:w="1303" w:type="dxa"/>
          </w:tcPr>
          <w:p w:rsidR="004F7049" w:rsidRDefault="004F7049">
            <w:pPr>
              <w:jc w:val="right"/>
              <w:rPr>
                <w:rFonts w:ascii="Arial" w:hAnsi="Arial"/>
                <w:snapToGrid w:val="0"/>
                <w:color w:val="000000"/>
              </w:rPr>
            </w:pPr>
            <w:r>
              <w:rPr>
                <w:rFonts w:ascii="Arial" w:hAnsi="Arial"/>
                <w:snapToGrid w:val="0"/>
                <w:color w:val="000000"/>
              </w:rPr>
              <w:t>25,067</w:t>
            </w:r>
          </w:p>
        </w:tc>
        <w:tc>
          <w:tcPr>
            <w:tcW w:w="1304" w:type="dxa"/>
          </w:tcPr>
          <w:p w:rsidR="004F7049" w:rsidRDefault="004F7049">
            <w:pPr>
              <w:jc w:val="right"/>
              <w:rPr>
                <w:rFonts w:ascii="Arial" w:hAnsi="Arial"/>
                <w:snapToGrid w:val="0"/>
                <w:color w:val="000000"/>
              </w:rPr>
            </w:pPr>
            <w:r>
              <w:rPr>
                <w:rFonts w:ascii="Arial" w:hAnsi="Arial"/>
                <w:snapToGrid w:val="0"/>
                <w:color w:val="000000"/>
              </w:rPr>
              <w:t>25,138</w:t>
            </w:r>
          </w:p>
        </w:tc>
        <w:tc>
          <w:tcPr>
            <w:tcW w:w="1286" w:type="dxa"/>
          </w:tcPr>
          <w:p w:rsidR="004F7049" w:rsidRDefault="004F7049">
            <w:pPr>
              <w:jc w:val="right"/>
              <w:rPr>
                <w:rFonts w:ascii="Arial" w:hAnsi="Arial"/>
                <w:snapToGrid w:val="0"/>
                <w:color w:val="000000"/>
              </w:rPr>
            </w:pPr>
            <w:r>
              <w:rPr>
                <w:rFonts w:ascii="Arial" w:hAnsi="Arial"/>
                <w:snapToGrid w:val="0"/>
                <w:color w:val="000000"/>
              </w:rPr>
              <w:t xml:space="preserve"> 25,461 </w:t>
            </w: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rPr>
                <w:rFonts w:ascii="Arial" w:hAnsi="Arial"/>
                <w:b/>
                <w:snapToGrid w:val="0"/>
                <w:color w:val="000000"/>
                <w:u w:val="single"/>
              </w:rPr>
            </w:pPr>
            <w:r>
              <w:rPr>
                <w:rFonts w:ascii="Arial" w:hAnsi="Arial"/>
                <w:b/>
                <w:snapToGrid w:val="0"/>
                <w:color w:val="000000"/>
                <w:u w:val="single"/>
              </w:rPr>
              <w:t>GAS PRODUCTION *</w:t>
            </w: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r>
              <w:rPr>
                <w:rFonts w:ascii="Arial" w:hAnsi="Arial"/>
                <w:snapToGrid w:val="0"/>
                <w:color w:val="000000"/>
              </w:rPr>
              <w:t>PRODUCED (1000 MCF)</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1,232 </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1,213 </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1,036 </w:t>
            </w:r>
          </w:p>
        </w:tc>
        <w:tc>
          <w:tcPr>
            <w:tcW w:w="1304" w:type="dxa"/>
          </w:tcPr>
          <w:p w:rsidR="004F7049" w:rsidRDefault="004F7049">
            <w:pPr>
              <w:jc w:val="right"/>
              <w:rPr>
                <w:rFonts w:ascii="Arial" w:hAnsi="Arial"/>
                <w:snapToGrid w:val="0"/>
                <w:color w:val="000000"/>
              </w:rPr>
            </w:pPr>
            <w:r>
              <w:rPr>
                <w:rFonts w:ascii="Arial" w:hAnsi="Arial"/>
                <w:snapToGrid w:val="0"/>
                <w:color w:val="000000"/>
              </w:rPr>
              <w:t xml:space="preserve"> 1,105 </w:t>
            </w:r>
          </w:p>
        </w:tc>
        <w:tc>
          <w:tcPr>
            <w:tcW w:w="1286" w:type="dxa"/>
            <w:vAlign w:val="bottom"/>
          </w:tcPr>
          <w:p w:rsidR="004F7049" w:rsidRDefault="004F7049">
            <w:pPr>
              <w:jc w:val="right"/>
              <w:rPr>
                <w:rFonts w:ascii="Arial" w:hAnsi="Arial"/>
                <w:snapToGrid w:val="0"/>
                <w:color w:val="000000"/>
              </w:rPr>
            </w:pPr>
            <w:r>
              <w:rPr>
                <w:rFonts w:ascii="Arial" w:hAnsi="Arial"/>
                <w:snapToGrid w:val="0"/>
                <w:color w:val="000000"/>
              </w:rPr>
              <w:t xml:space="preserve">      4,586 </w:t>
            </w: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center"/>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r>
              <w:rPr>
                <w:rFonts w:ascii="Arial" w:hAnsi="Arial"/>
                <w:snapToGrid w:val="0"/>
                <w:color w:val="000000"/>
              </w:rPr>
              <w:t>(AVERAGE MCF/D)</w:t>
            </w:r>
          </w:p>
        </w:tc>
        <w:tc>
          <w:tcPr>
            <w:tcW w:w="1303" w:type="dxa"/>
          </w:tcPr>
          <w:p w:rsidR="004F7049" w:rsidRDefault="004F7049">
            <w:pPr>
              <w:jc w:val="right"/>
              <w:rPr>
                <w:rFonts w:ascii="Arial" w:hAnsi="Arial"/>
                <w:snapToGrid w:val="0"/>
                <w:color w:val="000000"/>
              </w:rPr>
            </w:pPr>
            <w:r>
              <w:rPr>
                <w:rFonts w:ascii="Arial" w:hAnsi="Arial"/>
                <w:snapToGrid w:val="0"/>
                <w:color w:val="000000"/>
              </w:rPr>
              <w:t>13,388</w:t>
            </w:r>
          </w:p>
        </w:tc>
        <w:tc>
          <w:tcPr>
            <w:tcW w:w="1303" w:type="dxa"/>
          </w:tcPr>
          <w:p w:rsidR="004F7049" w:rsidRDefault="004F7049">
            <w:pPr>
              <w:jc w:val="right"/>
              <w:rPr>
                <w:rFonts w:ascii="Arial" w:hAnsi="Arial"/>
                <w:snapToGrid w:val="0"/>
                <w:color w:val="000000"/>
              </w:rPr>
            </w:pPr>
            <w:r>
              <w:rPr>
                <w:rFonts w:ascii="Arial" w:hAnsi="Arial"/>
                <w:snapToGrid w:val="0"/>
                <w:color w:val="000000"/>
              </w:rPr>
              <w:t>13,184</w:t>
            </w:r>
          </w:p>
        </w:tc>
        <w:tc>
          <w:tcPr>
            <w:tcW w:w="1303" w:type="dxa"/>
          </w:tcPr>
          <w:p w:rsidR="004F7049" w:rsidRDefault="004F7049">
            <w:pPr>
              <w:jc w:val="right"/>
              <w:rPr>
                <w:rFonts w:ascii="Arial" w:hAnsi="Arial"/>
                <w:snapToGrid w:val="0"/>
                <w:color w:val="000000"/>
              </w:rPr>
            </w:pPr>
            <w:r>
              <w:rPr>
                <w:rFonts w:ascii="Arial" w:hAnsi="Arial"/>
                <w:snapToGrid w:val="0"/>
                <w:color w:val="000000"/>
              </w:rPr>
              <w:t>11,514</w:t>
            </w:r>
          </w:p>
        </w:tc>
        <w:tc>
          <w:tcPr>
            <w:tcW w:w="1304" w:type="dxa"/>
          </w:tcPr>
          <w:p w:rsidR="004F7049" w:rsidRDefault="004F7049">
            <w:pPr>
              <w:jc w:val="right"/>
              <w:rPr>
                <w:rFonts w:ascii="Arial" w:hAnsi="Arial"/>
                <w:snapToGrid w:val="0"/>
                <w:color w:val="000000"/>
              </w:rPr>
            </w:pPr>
            <w:r>
              <w:rPr>
                <w:rFonts w:ascii="Arial" w:hAnsi="Arial"/>
                <w:snapToGrid w:val="0"/>
                <w:color w:val="000000"/>
              </w:rPr>
              <w:t>12,138</w:t>
            </w:r>
          </w:p>
        </w:tc>
        <w:tc>
          <w:tcPr>
            <w:tcW w:w="1286" w:type="dxa"/>
          </w:tcPr>
          <w:p w:rsidR="004F7049" w:rsidRDefault="004F7049">
            <w:pPr>
              <w:jc w:val="right"/>
              <w:rPr>
                <w:rFonts w:ascii="Arial" w:hAnsi="Arial"/>
                <w:snapToGrid w:val="0"/>
                <w:color w:val="000000"/>
              </w:rPr>
            </w:pPr>
            <w:r>
              <w:rPr>
                <w:rFonts w:ascii="Arial" w:hAnsi="Arial"/>
                <w:snapToGrid w:val="0"/>
                <w:color w:val="000000"/>
              </w:rPr>
              <w:t xml:space="preserve"> 12,563 </w:t>
            </w:r>
          </w:p>
        </w:tc>
      </w:tr>
      <w:tr w:rsidR="004F7049">
        <w:tblPrEx>
          <w:tblCellMar>
            <w:top w:w="0" w:type="dxa"/>
            <w:bottom w:w="0" w:type="dxa"/>
          </w:tblCellMar>
        </w:tblPrEx>
        <w:trPr>
          <w:trHeight w:val="214"/>
        </w:trPr>
        <w:tc>
          <w:tcPr>
            <w:tcW w:w="3281" w:type="dxa"/>
          </w:tcPr>
          <w:p w:rsidR="004F7049" w:rsidRDefault="004F7049">
            <w:pPr>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4" w:type="dxa"/>
            <w:vAlign w:val="bottom"/>
          </w:tcPr>
          <w:p w:rsidR="004F7049" w:rsidRDefault="004F7049">
            <w:pPr>
              <w:jc w:val="right"/>
              <w:rPr>
                <w:rFonts w:ascii="Arial" w:hAnsi="Arial"/>
                <w:snapToGrid w:val="0"/>
                <w:color w:val="000000"/>
              </w:rPr>
            </w:pPr>
          </w:p>
        </w:tc>
        <w:tc>
          <w:tcPr>
            <w:tcW w:w="1286" w:type="dxa"/>
            <w:vAlign w:val="bottom"/>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4" w:type="dxa"/>
            <w:vAlign w:val="bottom"/>
          </w:tcPr>
          <w:p w:rsidR="004F7049" w:rsidRDefault="004F7049">
            <w:pPr>
              <w:jc w:val="right"/>
              <w:rPr>
                <w:rFonts w:ascii="Arial" w:hAnsi="Arial"/>
                <w:snapToGrid w:val="0"/>
                <w:color w:val="000000"/>
              </w:rPr>
            </w:pPr>
          </w:p>
        </w:tc>
        <w:tc>
          <w:tcPr>
            <w:tcW w:w="1286" w:type="dxa"/>
            <w:vAlign w:val="bottom"/>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rPr>
                <w:rFonts w:ascii="Arial" w:hAnsi="Arial"/>
                <w:b/>
                <w:snapToGrid w:val="0"/>
                <w:color w:val="000000"/>
                <w:u w:val="single"/>
              </w:rPr>
            </w:pPr>
            <w:r>
              <w:rPr>
                <w:rFonts w:ascii="Arial" w:hAnsi="Arial"/>
                <w:b/>
                <w:snapToGrid w:val="0"/>
                <w:color w:val="000000"/>
                <w:u w:val="single"/>
              </w:rPr>
              <w:t>WATER PRODUCTION</w:t>
            </w: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4" w:type="dxa"/>
            <w:vAlign w:val="bottom"/>
          </w:tcPr>
          <w:p w:rsidR="004F7049" w:rsidRDefault="004F7049">
            <w:pPr>
              <w:jc w:val="right"/>
              <w:rPr>
                <w:rFonts w:ascii="Arial" w:hAnsi="Arial"/>
                <w:snapToGrid w:val="0"/>
                <w:color w:val="000000"/>
              </w:rPr>
            </w:pPr>
          </w:p>
        </w:tc>
        <w:tc>
          <w:tcPr>
            <w:tcW w:w="1286" w:type="dxa"/>
            <w:vAlign w:val="bottom"/>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4" w:type="dxa"/>
            <w:vAlign w:val="bottom"/>
          </w:tcPr>
          <w:p w:rsidR="004F7049" w:rsidRDefault="004F7049">
            <w:pPr>
              <w:jc w:val="right"/>
              <w:rPr>
                <w:rFonts w:ascii="Arial" w:hAnsi="Arial"/>
                <w:snapToGrid w:val="0"/>
                <w:color w:val="000000"/>
              </w:rPr>
            </w:pPr>
          </w:p>
        </w:tc>
        <w:tc>
          <w:tcPr>
            <w:tcW w:w="1286" w:type="dxa"/>
            <w:vAlign w:val="bottom"/>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r>
              <w:rPr>
                <w:rFonts w:ascii="Arial" w:hAnsi="Arial"/>
                <w:snapToGrid w:val="0"/>
                <w:color w:val="000000"/>
              </w:rPr>
              <w:t>PRODUCED (1000 BBL)</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89,548 </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88,564 </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84,601 </w:t>
            </w:r>
          </w:p>
        </w:tc>
        <w:tc>
          <w:tcPr>
            <w:tcW w:w="1304" w:type="dxa"/>
          </w:tcPr>
          <w:p w:rsidR="004F7049" w:rsidRDefault="004F7049">
            <w:pPr>
              <w:jc w:val="right"/>
              <w:rPr>
                <w:rFonts w:ascii="Arial" w:hAnsi="Arial"/>
                <w:snapToGrid w:val="0"/>
                <w:color w:val="000000"/>
              </w:rPr>
            </w:pPr>
            <w:r>
              <w:rPr>
                <w:rFonts w:ascii="Arial" w:hAnsi="Arial"/>
                <w:snapToGrid w:val="0"/>
                <w:color w:val="000000"/>
              </w:rPr>
              <w:t xml:space="preserve"> 85,782 </w:t>
            </w:r>
          </w:p>
        </w:tc>
        <w:tc>
          <w:tcPr>
            <w:tcW w:w="1286" w:type="dxa"/>
            <w:vAlign w:val="bottom"/>
          </w:tcPr>
          <w:p w:rsidR="004F7049" w:rsidRDefault="004F7049">
            <w:pPr>
              <w:jc w:val="right"/>
              <w:rPr>
                <w:rFonts w:ascii="Arial" w:hAnsi="Arial"/>
                <w:snapToGrid w:val="0"/>
                <w:color w:val="000000"/>
              </w:rPr>
            </w:pPr>
            <w:r>
              <w:rPr>
                <w:rFonts w:ascii="Arial" w:hAnsi="Arial"/>
                <w:snapToGrid w:val="0"/>
                <w:color w:val="000000"/>
              </w:rPr>
              <w:t xml:space="preserve">   348,495 </w:t>
            </w: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center"/>
              <w:rPr>
                <w:rFonts w:ascii="Arial" w:hAnsi="Arial"/>
                <w:snapToGrid w:val="0"/>
                <w:color w:val="000000"/>
              </w:rPr>
            </w:pPr>
          </w:p>
        </w:tc>
      </w:tr>
      <w:bookmarkEnd w:id="4"/>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r>
              <w:rPr>
                <w:rFonts w:ascii="Arial" w:hAnsi="Arial"/>
                <w:snapToGrid w:val="0"/>
                <w:color w:val="000000"/>
              </w:rPr>
              <w:t>(AVERAGE B/D)</w:t>
            </w:r>
          </w:p>
        </w:tc>
        <w:tc>
          <w:tcPr>
            <w:tcW w:w="1303" w:type="dxa"/>
          </w:tcPr>
          <w:p w:rsidR="004F7049" w:rsidRDefault="004F7049">
            <w:pPr>
              <w:jc w:val="right"/>
              <w:rPr>
                <w:rFonts w:ascii="Arial" w:hAnsi="Arial"/>
                <w:snapToGrid w:val="0"/>
                <w:color w:val="000000"/>
              </w:rPr>
            </w:pPr>
            <w:r>
              <w:rPr>
                <w:rFonts w:ascii="Arial" w:hAnsi="Arial"/>
                <w:snapToGrid w:val="0"/>
                <w:color w:val="000000"/>
              </w:rPr>
              <w:t>973,343</w:t>
            </w:r>
          </w:p>
        </w:tc>
        <w:tc>
          <w:tcPr>
            <w:tcW w:w="1303" w:type="dxa"/>
          </w:tcPr>
          <w:p w:rsidR="004F7049" w:rsidRDefault="004F7049">
            <w:pPr>
              <w:jc w:val="right"/>
              <w:rPr>
                <w:rFonts w:ascii="Arial" w:hAnsi="Arial"/>
                <w:snapToGrid w:val="0"/>
                <w:color w:val="000000"/>
              </w:rPr>
            </w:pPr>
            <w:r>
              <w:rPr>
                <w:rFonts w:ascii="Arial" w:hAnsi="Arial"/>
                <w:snapToGrid w:val="0"/>
                <w:color w:val="000000"/>
              </w:rPr>
              <w:t>962,649</w:t>
            </w:r>
          </w:p>
        </w:tc>
        <w:tc>
          <w:tcPr>
            <w:tcW w:w="1303" w:type="dxa"/>
          </w:tcPr>
          <w:p w:rsidR="004F7049" w:rsidRDefault="004F7049">
            <w:pPr>
              <w:jc w:val="right"/>
              <w:rPr>
                <w:rFonts w:ascii="Arial" w:hAnsi="Arial"/>
                <w:snapToGrid w:val="0"/>
                <w:color w:val="000000"/>
              </w:rPr>
            </w:pPr>
            <w:r>
              <w:rPr>
                <w:rFonts w:ascii="Arial" w:hAnsi="Arial"/>
                <w:snapToGrid w:val="0"/>
                <w:color w:val="000000"/>
              </w:rPr>
              <w:t>940,013</w:t>
            </w:r>
          </w:p>
        </w:tc>
        <w:tc>
          <w:tcPr>
            <w:tcW w:w="1304" w:type="dxa"/>
          </w:tcPr>
          <w:p w:rsidR="004F7049" w:rsidRDefault="004F7049">
            <w:pPr>
              <w:jc w:val="right"/>
              <w:rPr>
                <w:rFonts w:ascii="Arial" w:hAnsi="Arial"/>
                <w:snapToGrid w:val="0"/>
                <w:color w:val="000000"/>
              </w:rPr>
            </w:pPr>
            <w:r>
              <w:rPr>
                <w:rFonts w:ascii="Arial" w:hAnsi="Arial"/>
                <w:snapToGrid w:val="0"/>
                <w:color w:val="000000"/>
              </w:rPr>
              <w:t>942,664</w:t>
            </w:r>
          </w:p>
        </w:tc>
        <w:tc>
          <w:tcPr>
            <w:tcW w:w="1286" w:type="dxa"/>
            <w:vAlign w:val="bottom"/>
          </w:tcPr>
          <w:p w:rsidR="004F7049" w:rsidRDefault="004F7049">
            <w:pPr>
              <w:jc w:val="right"/>
              <w:rPr>
                <w:rFonts w:ascii="Arial" w:hAnsi="Arial"/>
                <w:snapToGrid w:val="0"/>
                <w:color w:val="000000"/>
              </w:rPr>
            </w:pPr>
            <w:r>
              <w:rPr>
                <w:rFonts w:ascii="Arial" w:hAnsi="Arial"/>
                <w:snapToGrid w:val="0"/>
                <w:color w:val="000000"/>
              </w:rPr>
              <w:t>954,780</w:t>
            </w: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4" w:type="dxa"/>
            <w:vAlign w:val="bottom"/>
          </w:tcPr>
          <w:p w:rsidR="004F7049" w:rsidRDefault="004F7049">
            <w:pPr>
              <w:jc w:val="right"/>
              <w:rPr>
                <w:rFonts w:ascii="Arial" w:hAnsi="Arial"/>
                <w:snapToGrid w:val="0"/>
                <w:color w:val="000000"/>
              </w:rPr>
            </w:pPr>
          </w:p>
        </w:tc>
        <w:tc>
          <w:tcPr>
            <w:tcW w:w="1286" w:type="dxa"/>
            <w:vAlign w:val="bottom"/>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4" w:type="dxa"/>
            <w:vAlign w:val="bottom"/>
          </w:tcPr>
          <w:p w:rsidR="004F7049" w:rsidRDefault="004F7049">
            <w:pPr>
              <w:jc w:val="right"/>
              <w:rPr>
                <w:rFonts w:ascii="Arial" w:hAnsi="Arial"/>
                <w:snapToGrid w:val="0"/>
                <w:color w:val="000000"/>
              </w:rPr>
            </w:pPr>
          </w:p>
        </w:tc>
        <w:tc>
          <w:tcPr>
            <w:tcW w:w="1286" w:type="dxa"/>
            <w:vAlign w:val="bottom"/>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rPr>
                <w:rFonts w:ascii="Arial" w:hAnsi="Arial"/>
                <w:b/>
                <w:snapToGrid w:val="0"/>
                <w:color w:val="000000"/>
                <w:u w:val="single"/>
              </w:rPr>
            </w:pPr>
            <w:r>
              <w:rPr>
                <w:rFonts w:ascii="Arial" w:hAnsi="Arial"/>
                <w:b/>
                <w:snapToGrid w:val="0"/>
                <w:color w:val="000000"/>
                <w:u w:val="single"/>
              </w:rPr>
              <w:t>WATER INJECTION</w:t>
            </w: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4" w:type="dxa"/>
            <w:vAlign w:val="bottom"/>
          </w:tcPr>
          <w:p w:rsidR="004F7049" w:rsidRDefault="004F7049">
            <w:pPr>
              <w:jc w:val="right"/>
              <w:rPr>
                <w:rFonts w:ascii="Arial" w:hAnsi="Arial"/>
                <w:snapToGrid w:val="0"/>
                <w:color w:val="000000"/>
              </w:rPr>
            </w:pPr>
          </w:p>
        </w:tc>
        <w:tc>
          <w:tcPr>
            <w:tcW w:w="1286" w:type="dxa"/>
            <w:vAlign w:val="bottom"/>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3" w:type="dxa"/>
            <w:vAlign w:val="bottom"/>
          </w:tcPr>
          <w:p w:rsidR="004F7049" w:rsidRDefault="004F7049">
            <w:pPr>
              <w:jc w:val="right"/>
              <w:rPr>
                <w:rFonts w:ascii="Arial" w:hAnsi="Arial"/>
                <w:snapToGrid w:val="0"/>
                <w:color w:val="000000"/>
              </w:rPr>
            </w:pPr>
          </w:p>
        </w:tc>
        <w:tc>
          <w:tcPr>
            <w:tcW w:w="1304" w:type="dxa"/>
            <w:vAlign w:val="bottom"/>
          </w:tcPr>
          <w:p w:rsidR="004F7049" w:rsidRDefault="004F7049">
            <w:pPr>
              <w:jc w:val="right"/>
              <w:rPr>
                <w:rFonts w:ascii="Arial" w:hAnsi="Arial"/>
                <w:snapToGrid w:val="0"/>
                <w:color w:val="000000"/>
              </w:rPr>
            </w:pPr>
          </w:p>
        </w:tc>
        <w:tc>
          <w:tcPr>
            <w:tcW w:w="1286" w:type="dxa"/>
            <w:vAlign w:val="bottom"/>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r>
              <w:rPr>
                <w:rFonts w:ascii="Arial" w:hAnsi="Arial"/>
                <w:snapToGrid w:val="0"/>
                <w:color w:val="000000"/>
              </w:rPr>
              <w:t>INJECTED (1000 BBL)</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97,452 </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96,381 </w:t>
            </w:r>
          </w:p>
        </w:tc>
        <w:tc>
          <w:tcPr>
            <w:tcW w:w="1303" w:type="dxa"/>
          </w:tcPr>
          <w:p w:rsidR="004F7049" w:rsidRDefault="004F7049">
            <w:pPr>
              <w:jc w:val="right"/>
              <w:rPr>
                <w:rFonts w:ascii="Arial" w:hAnsi="Arial"/>
                <w:snapToGrid w:val="0"/>
                <w:color w:val="000000"/>
              </w:rPr>
            </w:pPr>
            <w:r>
              <w:rPr>
                <w:rFonts w:ascii="Arial" w:hAnsi="Arial"/>
                <w:snapToGrid w:val="0"/>
                <w:color w:val="000000"/>
              </w:rPr>
              <w:t xml:space="preserve"> 92,069 </w:t>
            </w:r>
          </w:p>
        </w:tc>
        <w:tc>
          <w:tcPr>
            <w:tcW w:w="1304" w:type="dxa"/>
          </w:tcPr>
          <w:p w:rsidR="004F7049" w:rsidRDefault="004F7049">
            <w:pPr>
              <w:jc w:val="right"/>
              <w:rPr>
                <w:rFonts w:ascii="Arial" w:hAnsi="Arial"/>
                <w:snapToGrid w:val="0"/>
                <w:color w:val="000000"/>
              </w:rPr>
            </w:pPr>
            <w:r>
              <w:rPr>
                <w:rFonts w:ascii="Arial" w:hAnsi="Arial"/>
                <w:snapToGrid w:val="0"/>
                <w:color w:val="000000"/>
              </w:rPr>
              <w:t xml:space="preserve"> 93,354 </w:t>
            </w:r>
          </w:p>
        </w:tc>
        <w:tc>
          <w:tcPr>
            <w:tcW w:w="1286" w:type="dxa"/>
            <w:vAlign w:val="bottom"/>
          </w:tcPr>
          <w:p w:rsidR="004F7049" w:rsidRDefault="004F7049">
            <w:pPr>
              <w:jc w:val="right"/>
              <w:rPr>
                <w:rFonts w:ascii="Arial" w:hAnsi="Arial"/>
                <w:snapToGrid w:val="0"/>
                <w:color w:val="000000"/>
              </w:rPr>
            </w:pPr>
            <w:r>
              <w:rPr>
                <w:rFonts w:ascii="Arial" w:hAnsi="Arial"/>
                <w:snapToGrid w:val="0"/>
                <w:color w:val="000000"/>
              </w:rPr>
              <w:t xml:space="preserve">   379,256 </w:t>
            </w: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center"/>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ind w:left="720"/>
              <w:rPr>
                <w:rFonts w:ascii="Arial" w:hAnsi="Arial"/>
                <w:snapToGrid w:val="0"/>
                <w:color w:val="000000"/>
              </w:rPr>
            </w:pPr>
            <w:r>
              <w:rPr>
                <w:rFonts w:ascii="Arial" w:hAnsi="Arial"/>
                <w:snapToGrid w:val="0"/>
                <w:color w:val="000000"/>
              </w:rPr>
              <w:t>(AVERAGE B/D)</w:t>
            </w:r>
          </w:p>
        </w:tc>
        <w:tc>
          <w:tcPr>
            <w:tcW w:w="1303" w:type="dxa"/>
          </w:tcPr>
          <w:p w:rsidR="004F7049" w:rsidRDefault="004F7049">
            <w:pPr>
              <w:jc w:val="right"/>
              <w:rPr>
                <w:rFonts w:ascii="Arial" w:hAnsi="Arial"/>
                <w:snapToGrid w:val="0"/>
                <w:color w:val="000000"/>
              </w:rPr>
            </w:pPr>
            <w:r>
              <w:rPr>
                <w:rFonts w:ascii="Arial" w:hAnsi="Arial"/>
                <w:snapToGrid w:val="0"/>
                <w:color w:val="000000"/>
              </w:rPr>
              <w:t>1,059,256</w:t>
            </w:r>
          </w:p>
        </w:tc>
        <w:tc>
          <w:tcPr>
            <w:tcW w:w="1303" w:type="dxa"/>
          </w:tcPr>
          <w:p w:rsidR="004F7049" w:rsidRDefault="004F7049">
            <w:pPr>
              <w:jc w:val="right"/>
              <w:rPr>
                <w:rFonts w:ascii="Arial" w:hAnsi="Arial"/>
                <w:snapToGrid w:val="0"/>
                <w:color w:val="000000"/>
              </w:rPr>
            </w:pPr>
            <w:r>
              <w:rPr>
                <w:rFonts w:ascii="Arial" w:hAnsi="Arial"/>
                <w:snapToGrid w:val="0"/>
                <w:color w:val="000000"/>
              </w:rPr>
              <w:t>1,047,619</w:t>
            </w:r>
          </w:p>
        </w:tc>
        <w:tc>
          <w:tcPr>
            <w:tcW w:w="1303" w:type="dxa"/>
          </w:tcPr>
          <w:p w:rsidR="004F7049" w:rsidRDefault="004F7049">
            <w:pPr>
              <w:jc w:val="right"/>
              <w:rPr>
                <w:rFonts w:ascii="Arial" w:hAnsi="Arial"/>
                <w:snapToGrid w:val="0"/>
                <w:color w:val="000000"/>
              </w:rPr>
            </w:pPr>
            <w:r>
              <w:rPr>
                <w:rFonts w:ascii="Arial" w:hAnsi="Arial"/>
                <w:snapToGrid w:val="0"/>
                <w:color w:val="000000"/>
              </w:rPr>
              <w:t>1,022,985</w:t>
            </w:r>
          </w:p>
        </w:tc>
        <w:tc>
          <w:tcPr>
            <w:tcW w:w="1304" w:type="dxa"/>
          </w:tcPr>
          <w:p w:rsidR="004F7049" w:rsidRDefault="004F7049">
            <w:pPr>
              <w:jc w:val="right"/>
              <w:rPr>
                <w:rFonts w:ascii="Arial" w:hAnsi="Arial"/>
                <w:snapToGrid w:val="0"/>
                <w:color w:val="000000"/>
              </w:rPr>
            </w:pPr>
            <w:r>
              <w:rPr>
                <w:rFonts w:ascii="Arial" w:hAnsi="Arial"/>
                <w:snapToGrid w:val="0"/>
                <w:color w:val="000000"/>
              </w:rPr>
              <w:t>1,025,870</w:t>
            </w:r>
          </w:p>
        </w:tc>
        <w:tc>
          <w:tcPr>
            <w:tcW w:w="1286" w:type="dxa"/>
            <w:vAlign w:val="bottom"/>
          </w:tcPr>
          <w:p w:rsidR="004F7049" w:rsidRDefault="004F7049">
            <w:pPr>
              <w:jc w:val="right"/>
              <w:rPr>
                <w:rFonts w:ascii="Arial" w:hAnsi="Arial"/>
                <w:snapToGrid w:val="0"/>
                <w:color w:val="000000"/>
              </w:rPr>
            </w:pPr>
            <w:r>
              <w:rPr>
                <w:rFonts w:ascii="Arial" w:hAnsi="Arial"/>
                <w:snapToGrid w:val="0"/>
                <w:color w:val="000000"/>
              </w:rPr>
              <w:t>1,039,056</w:t>
            </w: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r w:rsidR="004F7049">
        <w:tblPrEx>
          <w:tblCellMar>
            <w:top w:w="0" w:type="dxa"/>
            <w:bottom w:w="0" w:type="dxa"/>
          </w:tblCellMar>
        </w:tblPrEx>
        <w:trPr>
          <w:trHeight w:val="214"/>
        </w:trPr>
        <w:tc>
          <w:tcPr>
            <w:tcW w:w="3281" w:type="dxa"/>
          </w:tcPr>
          <w:p w:rsidR="004F7049" w:rsidRDefault="004F7049">
            <w:pPr>
              <w:rPr>
                <w:rFonts w:ascii="Arial" w:hAnsi="Arial"/>
                <w:snapToGrid w:val="0"/>
                <w:color w:val="000000"/>
              </w:rPr>
            </w:pPr>
            <w:r>
              <w:rPr>
                <w:rFonts w:ascii="Arial" w:hAnsi="Arial"/>
                <w:snapToGrid w:val="0"/>
                <w:color w:val="000000"/>
              </w:rPr>
              <w:t>OIL PRICE ($/BBL)</w:t>
            </w:r>
          </w:p>
        </w:tc>
        <w:tc>
          <w:tcPr>
            <w:tcW w:w="1303" w:type="dxa"/>
          </w:tcPr>
          <w:p w:rsidR="004F7049" w:rsidRDefault="004F7049">
            <w:pPr>
              <w:jc w:val="right"/>
              <w:rPr>
                <w:rFonts w:ascii="Arial" w:hAnsi="Arial"/>
                <w:snapToGrid w:val="0"/>
                <w:color w:val="000000"/>
              </w:rPr>
            </w:pPr>
            <w:r>
              <w:rPr>
                <w:rFonts w:ascii="Arial" w:hAnsi="Arial"/>
                <w:snapToGrid w:val="0"/>
                <w:color w:val="000000"/>
              </w:rPr>
              <w:t>$40.0</w:t>
            </w:r>
          </w:p>
        </w:tc>
        <w:tc>
          <w:tcPr>
            <w:tcW w:w="1303" w:type="dxa"/>
          </w:tcPr>
          <w:p w:rsidR="004F7049" w:rsidRDefault="004F7049">
            <w:pPr>
              <w:jc w:val="right"/>
              <w:rPr>
                <w:rFonts w:ascii="Arial" w:hAnsi="Arial"/>
                <w:snapToGrid w:val="0"/>
                <w:color w:val="000000"/>
              </w:rPr>
            </w:pPr>
            <w:r>
              <w:rPr>
                <w:rFonts w:ascii="Arial" w:hAnsi="Arial"/>
                <w:snapToGrid w:val="0"/>
                <w:color w:val="000000"/>
              </w:rPr>
              <w:t>$40.0</w:t>
            </w:r>
          </w:p>
        </w:tc>
        <w:tc>
          <w:tcPr>
            <w:tcW w:w="1303" w:type="dxa"/>
          </w:tcPr>
          <w:p w:rsidR="004F7049" w:rsidRDefault="004F7049">
            <w:pPr>
              <w:jc w:val="right"/>
              <w:rPr>
                <w:rFonts w:ascii="Arial" w:hAnsi="Arial"/>
                <w:snapToGrid w:val="0"/>
                <w:color w:val="000000"/>
              </w:rPr>
            </w:pPr>
            <w:r>
              <w:rPr>
                <w:rFonts w:ascii="Arial" w:hAnsi="Arial"/>
                <w:snapToGrid w:val="0"/>
                <w:color w:val="000000"/>
              </w:rPr>
              <w:t>$40.0</w:t>
            </w:r>
          </w:p>
        </w:tc>
        <w:tc>
          <w:tcPr>
            <w:tcW w:w="1304" w:type="dxa"/>
          </w:tcPr>
          <w:p w:rsidR="004F7049" w:rsidRDefault="004F7049">
            <w:pPr>
              <w:jc w:val="right"/>
              <w:rPr>
                <w:rFonts w:ascii="Arial" w:hAnsi="Arial"/>
                <w:snapToGrid w:val="0"/>
                <w:color w:val="000000"/>
              </w:rPr>
            </w:pPr>
            <w:r>
              <w:rPr>
                <w:rFonts w:ascii="Arial" w:hAnsi="Arial"/>
                <w:snapToGrid w:val="0"/>
                <w:color w:val="000000"/>
              </w:rPr>
              <w:t>$40.0</w:t>
            </w:r>
          </w:p>
        </w:tc>
        <w:tc>
          <w:tcPr>
            <w:tcW w:w="1286" w:type="dxa"/>
          </w:tcPr>
          <w:p w:rsidR="004F7049" w:rsidRDefault="004F7049">
            <w:pPr>
              <w:jc w:val="right"/>
              <w:rPr>
                <w:rFonts w:ascii="Arial" w:hAnsi="Arial"/>
                <w:snapToGrid w:val="0"/>
                <w:color w:val="000000"/>
              </w:rPr>
            </w:pPr>
            <w:r>
              <w:rPr>
                <w:rFonts w:ascii="Arial" w:hAnsi="Arial"/>
                <w:snapToGrid w:val="0"/>
                <w:color w:val="000000"/>
              </w:rPr>
              <w:t>$40.0</w:t>
            </w:r>
          </w:p>
        </w:tc>
      </w:tr>
      <w:tr w:rsidR="004F7049">
        <w:tblPrEx>
          <w:tblCellMar>
            <w:top w:w="0" w:type="dxa"/>
            <w:bottom w:w="0" w:type="dxa"/>
          </w:tblCellMar>
        </w:tblPrEx>
        <w:trPr>
          <w:trHeight w:val="214"/>
        </w:trPr>
        <w:tc>
          <w:tcPr>
            <w:tcW w:w="3281" w:type="dxa"/>
          </w:tcPr>
          <w:p w:rsidR="004F7049" w:rsidRDefault="004F7049">
            <w:pPr>
              <w:rPr>
                <w:rFonts w:ascii="Arial" w:hAnsi="Arial"/>
                <w:snapToGrid w:val="0"/>
                <w:color w:val="000000"/>
              </w:rPr>
            </w:pPr>
            <w:r>
              <w:rPr>
                <w:rFonts w:ascii="Arial" w:hAnsi="Arial"/>
                <w:snapToGrid w:val="0"/>
                <w:color w:val="000000"/>
              </w:rPr>
              <w:t>GAS PRICE ($/MCF)</w:t>
            </w:r>
          </w:p>
        </w:tc>
        <w:tc>
          <w:tcPr>
            <w:tcW w:w="1303" w:type="dxa"/>
          </w:tcPr>
          <w:p w:rsidR="004F7049" w:rsidRDefault="004F7049">
            <w:pPr>
              <w:jc w:val="right"/>
              <w:rPr>
                <w:rFonts w:ascii="Arial" w:hAnsi="Arial"/>
                <w:snapToGrid w:val="0"/>
                <w:color w:val="000000"/>
              </w:rPr>
            </w:pPr>
            <w:r>
              <w:rPr>
                <w:rFonts w:ascii="Arial" w:hAnsi="Arial"/>
                <w:snapToGrid w:val="0"/>
                <w:color w:val="000000"/>
              </w:rPr>
              <w:t>$  6.0</w:t>
            </w:r>
          </w:p>
        </w:tc>
        <w:tc>
          <w:tcPr>
            <w:tcW w:w="1303" w:type="dxa"/>
          </w:tcPr>
          <w:p w:rsidR="004F7049" w:rsidRDefault="004F7049">
            <w:pPr>
              <w:jc w:val="right"/>
              <w:rPr>
                <w:rFonts w:ascii="Arial" w:hAnsi="Arial"/>
                <w:snapToGrid w:val="0"/>
                <w:color w:val="000000"/>
              </w:rPr>
            </w:pPr>
            <w:r>
              <w:rPr>
                <w:rFonts w:ascii="Arial" w:hAnsi="Arial"/>
                <w:snapToGrid w:val="0"/>
                <w:color w:val="000000"/>
              </w:rPr>
              <w:t>$  6.0</w:t>
            </w:r>
          </w:p>
        </w:tc>
        <w:tc>
          <w:tcPr>
            <w:tcW w:w="1303" w:type="dxa"/>
          </w:tcPr>
          <w:p w:rsidR="004F7049" w:rsidRDefault="004F7049">
            <w:pPr>
              <w:jc w:val="right"/>
              <w:rPr>
                <w:rFonts w:ascii="Arial" w:hAnsi="Arial"/>
                <w:snapToGrid w:val="0"/>
                <w:color w:val="000000"/>
              </w:rPr>
            </w:pPr>
            <w:r>
              <w:rPr>
                <w:rFonts w:ascii="Arial" w:hAnsi="Arial"/>
                <w:snapToGrid w:val="0"/>
                <w:color w:val="000000"/>
              </w:rPr>
              <w:t>$  6.0</w:t>
            </w:r>
          </w:p>
        </w:tc>
        <w:tc>
          <w:tcPr>
            <w:tcW w:w="1304" w:type="dxa"/>
          </w:tcPr>
          <w:p w:rsidR="004F7049" w:rsidRDefault="004F7049">
            <w:pPr>
              <w:jc w:val="right"/>
              <w:rPr>
                <w:rFonts w:ascii="Arial" w:hAnsi="Arial"/>
                <w:snapToGrid w:val="0"/>
                <w:color w:val="000000"/>
              </w:rPr>
            </w:pPr>
            <w:r>
              <w:rPr>
                <w:rFonts w:ascii="Arial" w:hAnsi="Arial"/>
                <w:snapToGrid w:val="0"/>
                <w:color w:val="000000"/>
              </w:rPr>
              <w:t>$  6.0</w:t>
            </w:r>
          </w:p>
        </w:tc>
        <w:tc>
          <w:tcPr>
            <w:tcW w:w="1286" w:type="dxa"/>
          </w:tcPr>
          <w:p w:rsidR="004F7049" w:rsidRDefault="004F7049">
            <w:pPr>
              <w:jc w:val="right"/>
              <w:rPr>
                <w:rFonts w:ascii="Arial" w:hAnsi="Arial"/>
                <w:snapToGrid w:val="0"/>
                <w:color w:val="000000"/>
              </w:rPr>
            </w:pPr>
            <w:r>
              <w:rPr>
                <w:rFonts w:ascii="Arial" w:hAnsi="Arial"/>
                <w:snapToGrid w:val="0"/>
                <w:color w:val="000000"/>
              </w:rPr>
              <w:t>$  6.0</w:t>
            </w:r>
          </w:p>
        </w:tc>
      </w:tr>
      <w:tr w:rsidR="004F7049">
        <w:tblPrEx>
          <w:tblCellMar>
            <w:top w:w="0" w:type="dxa"/>
            <w:bottom w:w="0" w:type="dxa"/>
          </w:tblCellMar>
        </w:tblPrEx>
        <w:trPr>
          <w:trHeight w:val="214"/>
        </w:trPr>
        <w:tc>
          <w:tcPr>
            <w:tcW w:w="3281" w:type="dxa"/>
          </w:tcPr>
          <w:p w:rsidR="004F7049" w:rsidRDefault="004F7049">
            <w:pPr>
              <w:rPr>
                <w:rFonts w:ascii="Arial" w:hAnsi="Arial"/>
                <w:snapToGrid w:val="0"/>
                <w:color w:val="000000"/>
              </w:rPr>
            </w:pPr>
          </w:p>
          <w:p w:rsidR="004F7049" w:rsidRDefault="004F7049">
            <w:pPr>
              <w:rPr>
                <w:rFonts w:ascii="Arial" w:hAnsi="Arial"/>
                <w:snapToGrid w:val="0"/>
                <w:color w:val="000000"/>
              </w:rPr>
            </w:pPr>
          </w:p>
          <w:p w:rsidR="004F7049" w:rsidRDefault="004F7049">
            <w:pPr>
              <w:rPr>
                <w:rFonts w:ascii="Arial" w:hAnsi="Arial"/>
                <w:snapToGrid w:val="0"/>
                <w:color w:val="000000"/>
              </w:rPr>
            </w:pPr>
            <w:r>
              <w:rPr>
                <w:rFonts w:ascii="Arial" w:hAnsi="Arial"/>
                <w:snapToGrid w:val="0"/>
                <w:color w:val="000000"/>
              </w:rPr>
              <w:t>* Includes Shallow Gas</w:t>
            </w: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3" w:type="dxa"/>
          </w:tcPr>
          <w:p w:rsidR="004F7049" w:rsidRDefault="004F7049">
            <w:pPr>
              <w:jc w:val="right"/>
              <w:rPr>
                <w:rFonts w:ascii="Arial" w:hAnsi="Arial"/>
                <w:snapToGrid w:val="0"/>
                <w:color w:val="000000"/>
              </w:rPr>
            </w:pPr>
          </w:p>
        </w:tc>
        <w:tc>
          <w:tcPr>
            <w:tcW w:w="1304" w:type="dxa"/>
          </w:tcPr>
          <w:p w:rsidR="004F7049" w:rsidRDefault="004F7049">
            <w:pPr>
              <w:jc w:val="right"/>
              <w:rPr>
                <w:rFonts w:ascii="Arial" w:hAnsi="Arial"/>
                <w:snapToGrid w:val="0"/>
                <w:color w:val="000000"/>
              </w:rPr>
            </w:pPr>
          </w:p>
        </w:tc>
        <w:tc>
          <w:tcPr>
            <w:tcW w:w="1286" w:type="dxa"/>
          </w:tcPr>
          <w:p w:rsidR="004F7049" w:rsidRDefault="004F7049">
            <w:pPr>
              <w:jc w:val="right"/>
              <w:rPr>
                <w:rFonts w:ascii="Arial" w:hAnsi="Arial"/>
                <w:snapToGrid w:val="0"/>
                <w:color w:val="000000"/>
              </w:rPr>
            </w:pPr>
          </w:p>
        </w:tc>
      </w:tr>
    </w:tbl>
    <w:p w:rsidR="004F7049" w:rsidRDefault="004F7049">
      <w:pPr>
        <w:pStyle w:val="BodyText2"/>
        <w:rPr>
          <w:b/>
          <w:color w:val="FF00FF"/>
        </w:rPr>
      </w:pPr>
    </w:p>
    <w:p w:rsidR="004F7049" w:rsidRDefault="004F7049">
      <w:pPr>
        <w:pStyle w:val="BodyText2"/>
        <w:rPr>
          <w:b/>
          <w:color w:val="FF00FF"/>
        </w:rPr>
      </w:pPr>
    </w:p>
    <w:p w:rsidR="004F7049" w:rsidRDefault="004F7049">
      <w:pPr>
        <w:pStyle w:val="BodyText2"/>
        <w:rPr>
          <w:b/>
          <w:color w:val="000000"/>
        </w:rPr>
      </w:pPr>
    </w:p>
    <w:p w:rsidR="004F7049" w:rsidRDefault="004F7049">
      <w:pPr>
        <w:pStyle w:val="BodyText2"/>
        <w:rPr>
          <w:b/>
          <w:color w:val="000000"/>
        </w:rPr>
      </w:pPr>
      <w:r>
        <w:rPr>
          <w:b/>
          <w:color w:val="000000"/>
        </w:rPr>
        <w:br w:type="page"/>
      </w:r>
    </w:p>
    <w:p w:rsidR="004F7049" w:rsidRDefault="004F7049">
      <w:pPr>
        <w:pStyle w:val="BodyText2"/>
        <w:jc w:val="center"/>
        <w:outlineLvl w:val="0"/>
        <w:rPr>
          <w:rFonts w:ascii="Arial" w:hAnsi="Arial" w:cs="Arial"/>
          <w:b/>
          <w:bCs/>
          <w:sz w:val="36"/>
          <w:szCs w:val="36"/>
        </w:rPr>
      </w:pPr>
      <w:bookmarkStart w:id="5" w:name="_Toc222647834"/>
      <w:r>
        <w:rPr>
          <w:rFonts w:ascii="Arial" w:hAnsi="Arial" w:cs="Arial"/>
          <w:b/>
          <w:bCs/>
          <w:sz w:val="36"/>
          <w:szCs w:val="36"/>
        </w:rPr>
        <w:lastRenderedPageBreak/>
        <w:t>Part II – Program Plan Schedules</w:t>
      </w:r>
      <w:bookmarkEnd w:id="5"/>
    </w:p>
    <w:p w:rsidR="004F7049" w:rsidRDefault="004F7049">
      <w:pPr>
        <w:pStyle w:val="BodyText2"/>
        <w:jc w:val="center"/>
        <w:outlineLvl w:val="0"/>
        <w:rPr>
          <w:rFonts w:ascii="Arial" w:hAnsi="Arial" w:cs="Arial"/>
          <w:b/>
          <w:bCs/>
          <w:sz w:val="36"/>
          <w:szCs w:val="36"/>
        </w:rPr>
      </w:pPr>
    </w:p>
    <w:p w:rsidR="004F7049" w:rsidRDefault="004F7049">
      <w:pPr>
        <w:jc w:val="center"/>
        <w:rPr>
          <w:rFonts w:ascii="Arial" w:hAnsi="Arial" w:cs="Arial"/>
          <w:b/>
          <w:bCs/>
          <w:sz w:val="32"/>
          <w:szCs w:val="32"/>
        </w:rPr>
      </w:pPr>
      <w:r>
        <w:rPr>
          <w:rFonts w:ascii="Arial" w:hAnsi="Arial" w:cs="Arial"/>
          <w:b/>
          <w:bCs/>
          <w:sz w:val="32"/>
          <w:szCs w:val="32"/>
        </w:rPr>
        <w:t>Schedule 1 A</w:t>
      </w:r>
    </w:p>
    <w:p w:rsidR="004F7049" w:rsidRDefault="004F7049">
      <w:pPr>
        <w:jc w:val="center"/>
        <w:rPr>
          <w:rFonts w:ascii="Arial" w:hAnsi="Arial" w:cs="Arial"/>
          <w:b/>
          <w:bCs/>
          <w:sz w:val="32"/>
          <w:szCs w:val="32"/>
        </w:rPr>
      </w:pPr>
      <w:r>
        <w:rPr>
          <w:rFonts w:ascii="Arial" w:hAnsi="Arial" w:cs="Arial"/>
          <w:b/>
          <w:bCs/>
          <w:sz w:val="32"/>
          <w:szCs w:val="32"/>
        </w:rPr>
        <w:t>Range of Production and Injection</w:t>
      </w:r>
    </w:p>
    <w:p w:rsidR="004F7049" w:rsidRDefault="004F7049">
      <w:pPr>
        <w:jc w:val="center"/>
        <w:rPr>
          <w:rFonts w:ascii="Arial" w:hAnsi="Arial" w:cs="Arial"/>
          <w:b/>
          <w:bCs/>
          <w:sz w:val="32"/>
          <w:szCs w:val="32"/>
        </w:rPr>
      </w:pPr>
      <w:r>
        <w:rPr>
          <w:rFonts w:ascii="Arial" w:hAnsi="Arial" w:cs="Arial"/>
          <w:b/>
          <w:bCs/>
          <w:sz w:val="32"/>
          <w:szCs w:val="32"/>
        </w:rPr>
        <w:t>FY 2009/10</w:t>
      </w:r>
    </w:p>
    <w:p w:rsidR="004F7049" w:rsidRDefault="004F7049">
      <w:pPr>
        <w:jc w:val="center"/>
        <w:rPr>
          <w:rFonts w:ascii="Arial" w:hAnsi="Arial" w:cs="Arial"/>
          <w:b/>
          <w:bCs/>
          <w:sz w:val="32"/>
          <w:szCs w:val="32"/>
        </w:rPr>
      </w:pPr>
    </w:p>
    <w:p w:rsidR="004F7049" w:rsidRDefault="004F7049">
      <w:pPr>
        <w:jc w:val="center"/>
        <w:rPr>
          <w:rFonts w:ascii="Arial" w:hAnsi="Arial" w:cs="Arial"/>
          <w:b/>
          <w:bCs/>
          <w:sz w:val="32"/>
          <w:szCs w:val="32"/>
        </w:rPr>
      </w:pPr>
      <w:r>
        <w:rPr>
          <w:rFonts w:ascii="Arial" w:hAnsi="Arial" w:cs="Arial"/>
          <w:b/>
          <w:bCs/>
          <w:sz w:val="32"/>
          <w:szCs w:val="32"/>
        </w:rPr>
        <w:t>Long Beach Unit Program Plan, July 2009-June 2014</w:t>
      </w:r>
    </w:p>
    <w:p w:rsidR="004F7049" w:rsidRDefault="004F7049">
      <w:pPr>
        <w:jc w:val="center"/>
        <w:rPr>
          <w:rFonts w:ascii="Arial" w:hAnsi="Arial" w:cs="Arial"/>
          <w:b/>
          <w:bCs/>
          <w:sz w:val="32"/>
          <w:szCs w:val="32"/>
        </w:rPr>
      </w:pPr>
    </w:p>
    <w:p w:rsidR="004F7049" w:rsidRDefault="004F7049">
      <w:pPr>
        <w:jc w:val="center"/>
        <w:rPr>
          <w:rFonts w:ascii="Arial" w:hAnsi="Arial" w:cs="Arial"/>
          <w:b/>
          <w:bCs/>
          <w:sz w:val="32"/>
          <w:szCs w:val="32"/>
        </w:rPr>
      </w:pPr>
    </w:p>
    <w:p w:rsidR="004F7049" w:rsidRDefault="004F7049">
      <w:pPr>
        <w:pStyle w:val="Caption"/>
        <w:rPr>
          <w:rFonts w:ascii="Arial" w:hAnsi="Arial"/>
        </w:rPr>
      </w:pPr>
    </w:p>
    <w:p w:rsidR="004F7049" w:rsidRDefault="004F7049"/>
    <w:p w:rsidR="004F7049" w:rsidRDefault="004F7049"/>
    <w:p w:rsidR="004F7049" w:rsidRDefault="004F7049">
      <w:pPr>
        <w:pStyle w:val="Heading2"/>
        <w:rPr>
          <w:rFonts w:ascii="Arial" w:hAnsi="Arial"/>
          <w:b/>
          <w:color w:val="000000"/>
        </w:rPr>
      </w:pPr>
      <w:bookmarkStart w:id="6" w:name="_Toc222647835"/>
      <w:r>
        <w:rPr>
          <w:rFonts w:ascii="Arial" w:hAnsi="Arial"/>
          <w:b/>
          <w:color w:val="000000"/>
        </w:rPr>
        <w:t>A. Range of Production and Injection Rates</w:t>
      </w:r>
      <w:bookmarkEnd w:id="6"/>
    </w:p>
    <w:p w:rsidR="004F7049" w:rsidRDefault="004F7049">
      <w:pPr>
        <w:rPr>
          <w:rFonts w:ascii="Arial" w:hAnsi="Arial" w:cs="Arial"/>
          <w:b/>
          <w:bCs/>
          <w:sz w:val="28"/>
        </w:rPr>
      </w:pPr>
    </w:p>
    <w:p w:rsidR="004F7049" w:rsidRDefault="004F7049">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3"/>
        <w:gridCol w:w="812"/>
        <w:gridCol w:w="290"/>
        <w:gridCol w:w="812"/>
        <w:gridCol w:w="797"/>
        <w:gridCol w:w="290"/>
        <w:gridCol w:w="762"/>
        <w:gridCol w:w="769"/>
        <w:gridCol w:w="290"/>
        <w:gridCol w:w="846"/>
        <w:gridCol w:w="763"/>
        <w:gridCol w:w="283"/>
        <w:gridCol w:w="829"/>
      </w:tblGrid>
      <w:tr w:rsidR="004F7049">
        <w:trPr>
          <w:cantSplit/>
        </w:trPr>
        <w:tc>
          <w:tcPr>
            <w:tcW w:w="1313" w:type="dxa"/>
            <w:vMerge w:val="restart"/>
            <w:vAlign w:val="center"/>
          </w:tcPr>
          <w:p w:rsidR="004F7049" w:rsidRDefault="004F7049">
            <w:pPr>
              <w:jc w:val="center"/>
              <w:rPr>
                <w:b/>
              </w:rPr>
            </w:pPr>
            <w:bookmarkStart w:id="7" w:name="_Toc442772374"/>
            <w:r>
              <w:rPr>
                <w:b/>
              </w:rPr>
              <w:t>FISCAL YEAR</w:t>
            </w:r>
          </w:p>
        </w:tc>
        <w:tc>
          <w:tcPr>
            <w:tcW w:w="7543" w:type="dxa"/>
            <w:gridSpan w:val="12"/>
            <w:vAlign w:val="center"/>
          </w:tcPr>
          <w:p w:rsidR="004F7049" w:rsidRDefault="004F7049">
            <w:pPr>
              <w:spacing w:before="60" w:after="240"/>
              <w:jc w:val="center"/>
              <w:rPr>
                <w:b/>
              </w:rPr>
            </w:pPr>
            <w:r>
              <w:rPr>
                <w:b/>
              </w:rPr>
              <w:t>RANGE OF PRODUCTION AND INJECTION RATES</w:t>
            </w:r>
          </w:p>
        </w:tc>
      </w:tr>
      <w:tr w:rsidR="004F7049">
        <w:trPr>
          <w:cantSplit/>
        </w:trPr>
        <w:tc>
          <w:tcPr>
            <w:tcW w:w="1313" w:type="dxa"/>
            <w:vMerge/>
            <w:tcBorders>
              <w:bottom w:val="single" w:sz="4" w:space="0" w:color="auto"/>
            </w:tcBorders>
            <w:vAlign w:val="center"/>
          </w:tcPr>
          <w:p w:rsidR="004F7049" w:rsidRDefault="004F7049">
            <w:pPr>
              <w:jc w:val="center"/>
              <w:rPr>
                <w:b/>
              </w:rPr>
            </w:pPr>
          </w:p>
        </w:tc>
        <w:tc>
          <w:tcPr>
            <w:tcW w:w="1914" w:type="dxa"/>
            <w:gridSpan w:val="3"/>
            <w:tcBorders>
              <w:bottom w:val="single" w:sz="4" w:space="0" w:color="auto"/>
            </w:tcBorders>
            <w:vAlign w:val="center"/>
          </w:tcPr>
          <w:p w:rsidR="004F7049" w:rsidRDefault="004F7049">
            <w:pPr>
              <w:spacing w:before="120" w:after="120"/>
              <w:jc w:val="center"/>
              <w:rPr>
                <w:b/>
              </w:rPr>
            </w:pPr>
            <w:r>
              <w:rPr>
                <w:b/>
              </w:rPr>
              <w:t>OIL MBOPD</w:t>
            </w:r>
          </w:p>
        </w:tc>
        <w:tc>
          <w:tcPr>
            <w:tcW w:w="1849" w:type="dxa"/>
            <w:gridSpan w:val="3"/>
            <w:tcBorders>
              <w:bottom w:val="single" w:sz="4" w:space="0" w:color="auto"/>
            </w:tcBorders>
            <w:vAlign w:val="center"/>
          </w:tcPr>
          <w:p w:rsidR="004F7049" w:rsidRDefault="004F7049">
            <w:pPr>
              <w:spacing w:before="120" w:after="120"/>
              <w:jc w:val="center"/>
              <w:rPr>
                <w:b/>
              </w:rPr>
            </w:pPr>
            <w:r>
              <w:rPr>
                <w:b/>
              </w:rPr>
              <w:t>WATER MBWPD</w:t>
            </w:r>
          </w:p>
        </w:tc>
        <w:tc>
          <w:tcPr>
            <w:tcW w:w="1905" w:type="dxa"/>
            <w:gridSpan w:val="3"/>
            <w:tcBorders>
              <w:bottom w:val="single" w:sz="4" w:space="0" w:color="auto"/>
            </w:tcBorders>
            <w:vAlign w:val="center"/>
          </w:tcPr>
          <w:p w:rsidR="004F7049" w:rsidRDefault="004F7049">
            <w:pPr>
              <w:spacing w:before="120" w:after="120"/>
              <w:jc w:val="center"/>
              <w:rPr>
                <w:b/>
              </w:rPr>
            </w:pPr>
            <w:r>
              <w:rPr>
                <w:b/>
              </w:rPr>
              <w:t>GAS MMCFPD</w:t>
            </w:r>
          </w:p>
        </w:tc>
        <w:tc>
          <w:tcPr>
            <w:tcW w:w="1875" w:type="dxa"/>
            <w:gridSpan w:val="3"/>
            <w:tcBorders>
              <w:bottom w:val="single" w:sz="4" w:space="0" w:color="auto"/>
            </w:tcBorders>
            <w:vAlign w:val="center"/>
          </w:tcPr>
          <w:p w:rsidR="004F7049" w:rsidRDefault="004F7049">
            <w:pPr>
              <w:spacing w:before="120" w:after="120"/>
              <w:jc w:val="center"/>
              <w:rPr>
                <w:b/>
              </w:rPr>
            </w:pPr>
            <w:r>
              <w:rPr>
                <w:b/>
              </w:rPr>
              <w:t>INJECTION MBWPD</w:t>
            </w:r>
          </w:p>
        </w:tc>
      </w:tr>
      <w:tr w:rsidR="004F7049">
        <w:tc>
          <w:tcPr>
            <w:tcW w:w="1313" w:type="dxa"/>
            <w:tcBorders>
              <w:right w:val="nil"/>
            </w:tcBorders>
            <w:vAlign w:val="center"/>
          </w:tcPr>
          <w:p w:rsidR="004F7049" w:rsidRDefault="004F7049">
            <w:pPr>
              <w:jc w:val="center"/>
            </w:pPr>
            <w:r>
              <w:t>2009-10</w:t>
            </w:r>
          </w:p>
        </w:tc>
        <w:tc>
          <w:tcPr>
            <w:tcW w:w="812" w:type="dxa"/>
            <w:tcBorders>
              <w:left w:val="nil"/>
              <w:right w:val="nil"/>
            </w:tcBorders>
            <w:vAlign w:val="center"/>
          </w:tcPr>
          <w:p w:rsidR="004F7049" w:rsidRDefault="004F7049">
            <w:pPr>
              <w:jc w:val="center"/>
              <w:rPr>
                <w:sz w:val="22"/>
                <w:szCs w:val="22"/>
              </w:rPr>
            </w:pPr>
            <w:r>
              <w:rPr>
                <w:sz w:val="22"/>
                <w:szCs w:val="22"/>
              </w:rPr>
              <w:t>24.6</w:t>
            </w:r>
          </w:p>
        </w:tc>
        <w:tc>
          <w:tcPr>
            <w:tcW w:w="290" w:type="dxa"/>
            <w:tcBorders>
              <w:left w:val="nil"/>
              <w:right w:val="nil"/>
            </w:tcBorders>
            <w:vAlign w:val="center"/>
          </w:tcPr>
          <w:p w:rsidR="004F7049" w:rsidRDefault="004F7049">
            <w:pPr>
              <w:jc w:val="center"/>
              <w:rPr>
                <w:sz w:val="22"/>
                <w:szCs w:val="22"/>
              </w:rPr>
            </w:pPr>
            <w:r>
              <w:rPr>
                <w:sz w:val="22"/>
                <w:szCs w:val="22"/>
              </w:rPr>
              <w:t>-</w:t>
            </w:r>
          </w:p>
        </w:tc>
        <w:tc>
          <w:tcPr>
            <w:tcW w:w="812" w:type="dxa"/>
            <w:tcBorders>
              <w:left w:val="nil"/>
              <w:right w:val="nil"/>
            </w:tcBorders>
            <w:vAlign w:val="center"/>
          </w:tcPr>
          <w:p w:rsidR="004F7049" w:rsidRDefault="004F7049">
            <w:pPr>
              <w:jc w:val="center"/>
              <w:rPr>
                <w:sz w:val="22"/>
                <w:szCs w:val="22"/>
              </w:rPr>
            </w:pPr>
            <w:r>
              <w:rPr>
                <w:sz w:val="22"/>
                <w:szCs w:val="22"/>
              </w:rPr>
              <w:t>26.0</w:t>
            </w:r>
          </w:p>
        </w:tc>
        <w:tc>
          <w:tcPr>
            <w:tcW w:w="797" w:type="dxa"/>
            <w:tcBorders>
              <w:left w:val="nil"/>
              <w:right w:val="nil"/>
            </w:tcBorders>
            <w:vAlign w:val="center"/>
          </w:tcPr>
          <w:p w:rsidR="004F7049" w:rsidRDefault="004F7049">
            <w:pPr>
              <w:jc w:val="center"/>
              <w:rPr>
                <w:sz w:val="22"/>
                <w:szCs w:val="22"/>
              </w:rPr>
            </w:pPr>
            <w:r>
              <w:rPr>
                <w:sz w:val="22"/>
                <w:szCs w:val="22"/>
              </w:rPr>
              <w:t>928</w:t>
            </w:r>
          </w:p>
        </w:tc>
        <w:tc>
          <w:tcPr>
            <w:tcW w:w="290" w:type="dxa"/>
            <w:tcBorders>
              <w:left w:val="nil"/>
              <w:right w:val="nil"/>
            </w:tcBorders>
            <w:vAlign w:val="center"/>
          </w:tcPr>
          <w:p w:rsidR="004F7049" w:rsidRDefault="004F7049">
            <w:pPr>
              <w:jc w:val="center"/>
              <w:rPr>
                <w:sz w:val="22"/>
                <w:szCs w:val="22"/>
              </w:rPr>
            </w:pPr>
            <w:r>
              <w:rPr>
                <w:sz w:val="22"/>
                <w:szCs w:val="22"/>
              </w:rPr>
              <w:t>-</w:t>
            </w:r>
          </w:p>
        </w:tc>
        <w:tc>
          <w:tcPr>
            <w:tcW w:w="762" w:type="dxa"/>
            <w:tcBorders>
              <w:left w:val="nil"/>
              <w:right w:val="nil"/>
            </w:tcBorders>
            <w:vAlign w:val="center"/>
          </w:tcPr>
          <w:p w:rsidR="004F7049" w:rsidRDefault="004F7049">
            <w:pPr>
              <w:jc w:val="center"/>
              <w:rPr>
                <w:sz w:val="22"/>
                <w:szCs w:val="22"/>
              </w:rPr>
            </w:pPr>
            <w:r>
              <w:rPr>
                <w:sz w:val="22"/>
                <w:szCs w:val="22"/>
              </w:rPr>
              <w:t>974</w:t>
            </w:r>
          </w:p>
        </w:tc>
        <w:tc>
          <w:tcPr>
            <w:tcW w:w="769" w:type="dxa"/>
            <w:tcBorders>
              <w:left w:val="nil"/>
              <w:right w:val="nil"/>
            </w:tcBorders>
            <w:vAlign w:val="center"/>
          </w:tcPr>
          <w:p w:rsidR="004F7049" w:rsidRDefault="004F7049">
            <w:pPr>
              <w:jc w:val="center"/>
              <w:rPr>
                <w:sz w:val="22"/>
                <w:szCs w:val="22"/>
              </w:rPr>
            </w:pPr>
            <w:r>
              <w:rPr>
                <w:sz w:val="22"/>
                <w:szCs w:val="22"/>
              </w:rPr>
              <w:t>10.8</w:t>
            </w:r>
          </w:p>
        </w:tc>
        <w:tc>
          <w:tcPr>
            <w:tcW w:w="290" w:type="dxa"/>
            <w:tcBorders>
              <w:left w:val="nil"/>
              <w:right w:val="nil"/>
            </w:tcBorders>
            <w:vAlign w:val="center"/>
          </w:tcPr>
          <w:p w:rsidR="004F7049" w:rsidRDefault="004F7049">
            <w:pPr>
              <w:jc w:val="center"/>
              <w:rPr>
                <w:sz w:val="22"/>
                <w:szCs w:val="22"/>
              </w:rPr>
            </w:pPr>
            <w:r>
              <w:rPr>
                <w:sz w:val="22"/>
                <w:szCs w:val="22"/>
              </w:rPr>
              <w:t>-</w:t>
            </w:r>
          </w:p>
        </w:tc>
        <w:tc>
          <w:tcPr>
            <w:tcW w:w="846" w:type="dxa"/>
            <w:tcBorders>
              <w:left w:val="nil"/>
              <w:right w:val="nil"/>
            </w:tcBorders>
            <w:vAlign w:val="center"/>
          </w:tcPr>
          <w:p w:rsidR="004F7049" w:rsidRDefault="004F7049">
            <w:pPr>
              <w:jc w:val="center"/>
              <w:rPr>
                <w:sz w:val="22"/>
                <w:szCs w:val="22"/>
              </w:rPr>
            </w:pPr>
            <w:r>
              <w:rPr>
                <w:sz w:val="22"/>
                <w:szCs w:val="22"/>
              </w:rPr>
              <w:t>13.6</w:t>
            </w:r>
          </w:p>
        </w:tc>
        <w:tc>
          <w:tcPr>
            <w:tcW w:w="763" w:type="dxa"/>
            <w:tcBorders>
              <w:left w:val="nil"/>
              <w:right w:val="nil"/>
            </w:tcBorders>
            <w:vAlign w:val="center"/>
          </w:tcPr>
          <w:p w:rsidR="004F7049" w:rsidRDefault="004F7049">
            <w:pPr>
              <w:jc w:val="center"/>
              <w:rPr>
                <w:sz w:val="22"/>
                <w:szCs w:val="22"/>
              </w:rPr>
            </w:pPr>
            <w:r>
              <w:rPr>
                <w:sz w:val="22"/>
                <w:szCs w:val="22"/>
              </w:rPr>
              <w:t>1,007</w:t>
            </w:r>
          </w:p>
        </w:tc>
        <w:tc>
          <w:tcPr>
            <w:tcW w:w="283" w:type="dxa"/>
            <w:tcBorders>
              <w:left w:val="nil"/>
              <w:right w:val="nil"/>
            </w:tcBorders>
          </w:tcPr>
          <w:p w:rsidR="004F7049" w:rsidRDefault="004F7049">
            <w:pPr>
              <w:spacing w:before="240" w:after="240"/>
              <w:jc w:val="center"/>
            </w:pPr>
            <w:r>
              <w:t>-</w:t>
            </w:r>
          </w:p>
        </w:tc>
        <w:tc>
          <w:tcPr>
            <w:tcW w:w="829" w:type="dxa"/>
            <w:tcBorders>
              <w:left w:val="nil"/>
            </w:tcBorders>
          </w:tcPr>
          <w:p w:rsidR="004F7049" w:rsidRDefault="004F7049">
            <w:pPr>
              <w:spacing w:before="240" w:after="240"/>
              <w:jc w:val="center"/>
            </w:pPr>
            <w:r>
              <w:t>1,060</w:t>
            </w:r>
          </w:p>
        </w:tc>
      </w:tr>
    </w:tbl>
    <w:p w:rsidR="004F7049" w:rsidRDefault="004F7049"/>
    <w:p w:rsidR="004F7049" w:rsidRDefault="004F70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
        <w:gridCol w:w="1845"/>
        <w:gridCol w:w="1839"/>
        <w:gridCol w:w="1952"/>
        <w:gridCol w:w="1843"/>
      </w:tblGrid>
      <w:tr w:rsidR="004F7049">
        <w:trPr>
          <w:cantSplit/>
        </w:trPr>
        <w:tc>
          <w:tcPr>
            <w:tcW w:w="1458" w:type="dxa"/>
            <w:vMerge w:val="restart"/>
            <w:vAlign w:val="center"/>
          </w:tcPr>
          <w:p w:rsidR="004F7049" w:rsidRDefault="004F7049">
            <w:pPr>
              <w:jc w:val="center"/>
              <w:rPr>
                <w:b/>
              </w:rPr>
            </w:pPr>
            <w:r>
              <w:rPr>
                <w:b/>
              </w:rPr>
              <w:t>FISCAL YEAR</w:t>
            </w:r>
          </w:p>
        </w:tc>
        <w:tc>
          <w:tcPr>
            <w:tcW w:w="8118" w:type="dxa"/>
            <w:gridSpan w:val="4"/>
            <w:vAlign w:val="center"/>
          </w:tcPr>
          <w:p w:rsidR="004F7049" w:rsidRDefault="004F7049">
            <w:pPr>
              <w:spacing w:before="60" w:after="240"/>
              <w:jc w:val="center"/>
              <w:rPr>
                <w:b/>
              </w:rPr>
            </w:pPr>
            <w:r>
              <w:rPr>
                <w:b/>
              </w:rPr>
              <w:t>RANGE OF INJECTION PRESSURES</w:t>
            </w:r>
          </w:p>
        </w:tc>
      </w:tr>
      <w:tr w:rsidR="004F7049">
        <w:trPr>
          <w:cantSplit/>
        </w:trPr>
        <w:tc>
          <w:tcPr>
            <w:tcW w:w="1458" w:type="dxa"/>
            <w:vMerge/>
            <w:tcBorders>
              <w:bottom w:val="single" w:sz="4" w:space="0" w:color="auto"/>
            </w:tcBorders>
            <w:vAlign w:val="center"/>
          </w:tcPr>
          <w:p w:rsidR="004F7049" w:rsidRDefault="004F7049">
            <w:pPr>
              <w:jc w:val="center"/>
              <w:rPr>
                <w:b/>
              </w:rPr>
            </w:pPr>
          </w:p>
        </w:tc>
        <w:tc>
          <w:tcPr>
            <w:tcW w:w="2070" w:type="dxa"/>
            <w:tcBorders>
              <w:bottom w:val="single" w:sz="4" w:space="0" w:color="auto"/>
            </w:tcBorders>
            <w:vAlign w:val="center"/>
          </w:tcPr>
          <w:p w:rsidR="004F7049" w:rsidRDefault="004F7049">
            <w:pPr>
              <w:spacing w:before="120" w:after="120"/>
              <w:jc w:val="center"/>
              <w:rPr>
                <w:b/>
              </w:rPr>
            </w:pPr>
            <w:r>
              <w:rPr>
                <w:b/>
              </w:rPr>
              <w:t>TAR PSI</w:t>
            </w:r>
          </w:p>
        </w:tc>
        <w:tc>
          <w:tcPr>
            <w:tcW w:w="1980" w:type="dxa"/>
            <w:tcBorders>
              <w:bottom w:val="single" w:sz="4" w:space="0" w:color="auto"/>
            </w:tcBorders>
            <w:vAlign w:val="center"/>
          </w:tcPr>
          <w:p w:rsidR="004F7049" w:rsidRDefault="004F7049">
            <w:pPr>
              <w:spacing w:before="120" w:after="120"/>
              <w:jc w:val="center"/>
              <w:rPr>
                <w:b/>
              </w:rPr>
            </w:pPr>
            <w:r>
              <w:rPr>
                <w:b/>
              </w:rPr>
              <w:t>RANGER PSI</w:t>
            </w:r>
          </w:p>
        </w:tc>
        <w:tc>
          <w:tcPr>
            <w:tcW w:w="2070" w:type="dxa"/>
            <w:tcBorders>
              <w:bottom w:val="single" w:sz="4" w:space="0" w:color="auto"/>
            </w:tcBorders>
            <w:vAlign w:val="center"/>
          </w:tcPr>
          <w:p w:rsidR="004F7049" w:rsidRDefault="004F7049">
            <w:pPr>
              <w:spacing w:before="120" w:after="120"/>
              <w:jc w:val="center"/>
              <w:rPr>
                <w:b/>
              </w:rPr>
            </w:pPr>
            <w:r>
              <w:rPr>
                <w:b/>
              </w:rPr>
              <w:t>TERMINAL PSI</w:t>
            </w:r>
          </w:p>
        </w:tc>
        <w:tc>
          <w:tcPr>
            <w:tcW w:w="1998" w:type="dxa"/>
            <w:tcBorders>
              <w:bottom w:val="single" w:sz="4" w:space="0" w:color="auto"/>
            </w:tcBorders>
            <w:vAlign w:val="center"/>
          </w:tcPr>
          <w:p w:rsidR="004F7049" w:rsidRDefault="004F7049">
            <w:pPr>
              <w:spacing w:before="120" w:after="120"/>
              <w:jc w:val="center"/>
              <w:rPr>
                <w:b/>
              </w:rPr>
            </w:pPr>
            <w:r>
              <w:rPr>
                <w:b/>
              </w:rPr>
              <w:t>U. P./FORD PSI</w:t>
            </w:r>
          </w:p>
        </w:tc>
      </w:tr>
      <w:tr w:rsidR="004F7049">
        <w:tc>
          <w:tcPr>
            <w:tcW w:w="1458" w:type="dxa"/>
            <w:tcBorders>
              <w:right w:val="nil"/>
            </w:tcBorders>
            <w:vAlign w:val="center"/>
          </w:tcPr>
          <w:p w:rsidR="004F7049" w:rsidRDefault="004F7049">
            <w:pPr>
              <w:spacing w:before="240" w:after="240"/>
              <w:jc w:val="center"/>
              <w:rPr>
                <w:b/>
              </w:rPr>
            </w:pPr>
            <w:r>
              <w:t>2009-10</w:t>
            </w:r>
          </w:p>
        </w:tc>
        <w:tc>
          <w:tcPr>
            <w:tcW w:w="2070" w:type="dxa"/>
            <w:tcBorders>
              <w:left w:val="nil"/>
              <w:right w:val="nil"/>
            </w:tcBorders>
            <w:vAlign w:val="center"/>
          </w:tcPr>
          <w:p w:rsidR="004F7049" w:rsidRDefault="004F7049">
            <w:pPr>
              <w:spacing w:before="240" w:after="240"/>
              <w:jc w:val="center"/>
            </w:pPr>
            <w:r>
              <w:t>UP TO 1500</w:t>
            </w:r>
          </w:p>
        </w:tc>
        <w:tc>
          <w:tcPr>
            <w:tcW w:w="1980" w:type="dxa"/>
            <w:tcBorders>
              <w:left w:val="nil"/>
              <w:right w:val="nil"/>
            </w:tcBorders>
            <w:vAlign w:val="center"/>
          </w:tcPr>
          <w:p w:rsidR="004F7049" w:rsidRDefault="004F7049">
            <w:pPr>
              <w:spacing w:before="240" w:after="240"/>
              <w:jc w:val="center"/>
            </w:pPr>
            <w:r>
              <w:t>UP TO 2500</w:t>
            </w:r>
          </w:p>
        </w:tc>
        <w:tc>
          <w:tcPr>
            <w:tcW w:w="2070" w:type="dxa"/>
            <w:tcBorders>
              <w:left w:val="nil"/>
              <w:right w:val="nil"/>
            </w:tcBorders>
            <w:vAlign w:val="center"/>
          </w:tcPr>
          <w:p w:rsidR="004F7049" w:rsidRDefault="004F7049">
            <w:pPr>
              <w:spacing w:before="240" w:after="240"/>
              <w:jc w:val="center"/>
            </w:pPr>
            <w:r>
              <w:t>UP TO 2500</w:t>
            </w:r>
          </w:p>
        </w:tc>
        <w:tc>
          <w:tcPr>
            <w:tcW w:w="1998" w:type="dxa"/>
            <w:tcBorders>
              <w:left w:val="nil"/>
            </w:tcBorders>
            <w:vAlign w:val="center"/>
          </w:tcPr>
          <w:p w:rsidR="004F7049" w:rsidRDefault="004F7049">
            <w:pPr>
              <w:spacing w:before="240" w:after="240"/>
              <w:jc w:val="center"/>
            </w:pPr>
            <w:r>
              <w:t>UP TO 3000</w:t>
            </w:r>
          </w:p>
        </w:tc>
      </w:tr>
      <w:bookmarkEnd w:id="7"/>
    </w:tbl>
    <w:p w:rsidR="004F7049" w:rsidRDefault="004F7049"/>
    <w:p w:rsidR="004F7049" w:rsidRDefault="004F7049">
      <w:pPr>
        <w:jc w:val="center"/>
        <w:rPr>
          <w:rFonts w:ascii="Arial" w:hAnsi="Arial" w:cs="Arial"/>
          <w:b/>
          <w:bCs/>
          <w:sz w:val="32"/>
          <w:szCs w:val="32"/>
        </w:rPr>
      </w:pPr>
      <w:r>
        <w:br w:type="page"/>
      </w:r>
      <w:r>
        <w:rPr>
          <w:rFonts w:ascii="Arial" w:hAnsi="Arial" w:cs="Arial"/>
          <w:b/>
          <w:bCs/>
          <w:sz w:val="32"/>
          <w:szCs w:val="32"/>
        </w:rPr>
        <w:lastRenderedPageBreak/>
        <w:t>Schedule 1 B</w:t>
      </w:r>
    </w:p>
    <w:p w:rsidR="004F7049" w:rsidRDefault="004F7049">
      <w:pPr>
        <w:jc w:val="center"/>
      </w:pPr>
      <w:r>
        <w:rPr>
          <w:rFonts w:ascii="Arial" w:hAnsi="Arial" w:cs="Arial"/>
          <w:b/>
          <w:bCs/>
          <w:sz w:val="32"/>
          <w:szCs w:val="32"/>
        </w:rPr>
        <w:t>Anticipated Development and Replacement Locations</w:t>
      </w:r>
    </w:p>
    <w:p w:rsidR="004F7049" w:rsidRDefault="004F7049">
      <w:pPr>
        <w:jc w:val="center"/>
        <w:rPr>
          <w:rFonts w:ascii="Arial" w:hAnsi="Arial" w:cs="Arial"/>
          <w:b/>
          <w:bCs/>
          <w:sz w:val="32"/>
          <w:szCs w:val="32"/>
        </w:rPr>
      </w:pPr>
      <w:r>
        <w:rPr>
          <w:rFonts w:ascii="Arial" w:hAnsi="Arial" w:cs="Arial"/>
          <w:b/>
          <w:bCs/>
          <w:sz w:val="32"/>
          <w:szCs w:val="32"/>
        </w:rPr>
        <w:t>Fiscal Year 09/10</w:t>
      </w:r>
    </w:p>
    <w:p w:rsidR="004F7049" w:rsidRDefault="004F7049">
      <w:pPr>
        <w:jc w:val="center"/>
        <w:rPr>
          <w:rFonts w:ascii="Arial" w:hAnsi="Arial" w:cs="Arial"/>
          <w:b/>
          <w:bCs/>
          <w:sz w:val="32"/>
          <w:szCs w:val="32"/>
        </w:rPr>
      </w:pPr>
    </w:p>
    <w:p w:rsidR="004F7049" w:rsidRDefault="004F7049">
      <w:pPr>
        <w:jc w:val="center"/>
        <w:rPr>
          <w:rFonts w:ascii="Arial" w:hAnsi="Arial" w:cs="Arial"/>
          <w:b/>
          <w:bCs/>
          <w:sz w:val="32"/>
          <w:szCs w:val="32"/>
        </w:rPr>
      </w:pPr>
      <w:r>
        <w:rPr>
          <w:rFonts w:ascii="Arial" w:hAnsi="Arial" w:cs="Arial"/>
          <w:b/>
          <w:bCs/>
          <w:sz w:val="32"/>
          <w:szCs w:val="32"/>
        </w:rPr>
        <w:t>Long Beach Unit Program Plan, July 2009-June 2014</w:t>
      </w:r>
    </w:p>
    <w:p w:rsidR="004F7049" w:rsidRDefault="004F7049">
      <w:pPr>
        <w:pStyle w:val="Heading2"/>
        <w:rPr>
          <w:rFonts w:ascii="Arial" w:hAnsi="Arial"/>
          <w:b/>
          <w:color w:val="000000"/>
        </w:rPr>
      </w:pPr>
    </w:p>
    <w:p w:rsidR="004F7049" w:rsidRDefault="004F7049">
      <w:pPr>
        <w:pStyle w:val="Heading2"/>
        <w:rPr>
          <w:rFonts w:ascii="Arial" w:hAnsi="Arial"/>
          <w:b/>
          <w:color w:val="000000"/>
        </w:rPr>
      </w:pPr>
      <w:bookmarkStart w:id="8" w:name="_Toc222647836"/>
      <w:r>
        <w:rPr>
          <w:rFonts w:ascii="Arial" w:hAnsi="Arial"/>
          <w:b/>
          <w:color w:val="000000"/>
        </w:rPr>
        <w:t>B. Anticipated Development and Replacement Locations</w:t>
      </w:r>
      <w:bookmarkEnd w:id="8"/>
    </w:p>
    <w:p w:rsidR="004F7049" w:rsidRDefault="004F7049"/>
    <w:p w:rsidR="004F7049" w:rsidRDefault="00A86491">
      <w:pPr>
        <w:ind w:right="-360"/>
      </w:pPr>
      <w:r>
        <w:rPr>
          <w:noProof/>
        </w:rPr>
        <w:drawing>
          <wp:inline distT="0" distB="0" distL="0" distR="0">
            <wp:extent cx="5486400" cy="57759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86400" cy="5775960"/>
                    </a:xfrm>
                    <a:prstGeom prst="rect">
                      <a:avLst/>
                    </a:prstGeom>
                    <a:noFill/>
                    <a:ln w="9525">
                      <a:noFill/>
                      <a:miter lim="800000"/>
                      <a:headEnd/>
                      <a:tailEnd/>
                    </a:ln>
                  </pic:spPr>
                </pic:pic>
              </a:graphicData>
            </a:graphic>
          </wp:inline>
        </w:drawing>
      </w:r>
    </w:p>
    <w:p w:rsidR="004F7049" w:rsidRDefault="004F7049">
      <w:pPr>
        <w:pStyle w:val="BodyText2"/>
        <w:rPr>
          <w:rFonts w:ascii="Arial" w:hAnsi="Arial"/>
          <w:b/>
          <w:u w:val="single"/>
        </w:rPr>
      </w:pPr>
    </w:p>
    <w:p w:rsidR="004F7049" w:rsidRDefault="004F7049">
      <w:pPr>
        <w:pStyle w:val="Heading1"/>
        <w:jc w:val="center"/>
        <w:rPr>
          <w:rFonts w:ascii="Arial" w:hAnsi="Arial"/>
          <w:b/>
          <w:color w:val="000000"/>
          <w:sz w:val="36"/>
        </w:rPr>
      </w:pPr>
      <w:r>
        <w:rPr>
          <w:rFonts w:ascii="Arial" w:hAnsi="Arial" w:cs="Arial"/>
          <w:b/>
          <w:bCs/>
        </w:rPr>
        <w:br w:type="page"/>
      </w:r>
      <w:bookmarkStart w:id="9" w:name="_Toc222647837"/>
      <w:r>
        <w:rPr>
          <w:rFonts w:ascii="Arial" w:hAnsi="Arial" w:cs="Arial"/>
          <w:b/>
          <w:bCs/>
          <w:sz w:val="36"/>
          <w:szCs w:val="36"/>
        </w:rPr>
        <w:lastRenderedPageBreak/>
        <w:t>Part III – Itemized Budget Expenditures</w:t>
      </w:r>
      <w:bookmarkEnd w:id="9"/>
    </w:p>
    <w:p w:rsidR="004F7049" w:rsidRDefault="004F7049">
      <w:pPr>
        <w:pStyle w:val="BodyText2"/>
        <w:jc w:val="center"/>
        <w:rPr>
          <w:rFonts w:ascii="Arial" w:hAnsi="Arial"/>
          <w:b/>
          <w:color w:val="000000"/>
        </w:rPr>
      </w:pPr>
    </w:p>
    <w:p w:rsidR="004F7049" w:rsidRDefault="004F7049">
      <w:pPr>
        <w:pStyle w:val="BodyText2"/>
        <w:rPr>
          <w:rFonts w:ascii="Arial" w:hAnsi="Arial"/>
          <w:b/>
          <w:color w:val="000000"/>
        </w:rPr>
      </w:pPr>
    </w:p>
    <w:p w:rsidR="004F7049" w:rsidRDefault="004F7049">
      <w:pPr>
        <w:pStyle w:val="BodyText2"/>
        <w:rPr>
          <w:rFonts w:ascii="Arial" w:hAnsi="Arial"/>
          <w:b/>
          <w:color w:val="000000"/>
          <w:sz w:val="28"/>
        </w:rPr>
      </w:pPr>
      <w:bookmarkStart w:id="10" w:name="_Toc222647838"/>
      <w:r>
        <w:rPr>
          <w:rStyle w:val="Heading2Char2"/>
          <w:rFonts w:ascii="Arial" w:hAnsi="Arial"/>
          <w:b/>
          <w:color w:val="000000"/>
        </w:rPr>
        <w:t>A. Development Drilling</w:t>
      </w:r>
      <w:bookmarkEnd w:id="10"/>
      <w:r>
        <w:rPr>
          <w:rFonts w:ascii="Arial" w:hAnsi="Arial" w:cs="Arial"/>
          <w:b/>
          <w:bCs/>
          <w:sz w:val="28"/>
        </w:rPr>
        <w:tab/>
      </w:r>
      <w:r>
        <w:rPr>
          <w:rFonts w:ascii="Arial" w:hAnsi="Arial"/>
          <w:b/>
          <w:color w:val="000000"/>
          <w:sz w:val="28"/>
        </w:rPr>
        <w:tab/>
      </w:r>
      <w:r>
        <w:rPr>
          <w:rFonts w:ascii="Arial" w:hAnsi="Arial"/>
          <w:b/>
          <w:color w:val="000000"/>
          <w:sz w:val="28"/>
        </w:rPr>
        <w:tab/>
        <w:t xml:space="preserve">           </w:t>
      </w:r>
      <w:r>
        <w:rPr>
          <w:rFonts w:ascii="Arial" w:hAnsi="Arial"/>
          <w:b/>
          <w:color w:val="000000"/>
          <w:sz w:val="28"/>
        </w:rPr>
        <w:tab/>
        <w:t xml:space="preserve">       </w:t>
      </w:r>
      <w:r>
        <w:rPr>
          <w:rFonts w:ascii="Arial" w:hAnsi="Arial"/>
          <w:b/>
          <w:sz w:val="28"/>
        </w:rPr>
        <w:t>$74,000,000</w:t>
      </w:r>
    </w:p>
    <w:p w:rsidR="004F7049" w:rsidRDefault="004F7049">
      <w:pPr>
        <w:pStyle w:val="BodyText2"/>
        <w:rPr>
          <w:rFonts w:ascii="Arial" w:hAnsi="Arial"/>
          <w:b/>
          <w:color w:val="000000"/>
        </w:rPr>
      </w:pPr>
    </w:p>
    <w:p w:rsidR="004F7049" w:rsidRDefault="004F7049">
      <w:pPr>
        <w:pStyle w:val="BodyText2"/>
        <w:rPr>
          <w:rFonts w:ascii="Arial" w:hAnsi="Arial"/>
        </w:rPr>
      </w:pPr>
      <w:r>
        <w:rPr>
          <w:rFonts w:ascii="Arial" w:hAnsi="Arial"/>
          <w:color w:val="000000"/>
        </w:rPr>
        <w:t xml:space="preserve">The Development Drilling Category of expenditures encompasses all new well and replacement well drilling activity, as well as maintenance and replacement of drilling equipment within the Unit.  Funds for development drilling are based on the assumption that 50 wells will be developed and/or replaced during the Plan year, using approximately two drilling rigs. </w:t>
      </w:r>
    </w:p>
    <w:p w:rsidR="004F7049" w:rsidRDefault="004F7049">
      <w:pPr>
        <w:pStyle w:val="BodyText2"/>
        <w:rPr>
          <w:rFonts w:ascii="Arial" w:hAnsi="Arial"/>
        </w:rPr>
      </w:pPr>
    </w:p>
    <w:p w:rsidR="004F7049" w:rsidRDefault="004F7049">
      <w:pPr>
        <w:pStyle w:val="BodyText2"/>
        <w:rPr>
          <w:rFonts w:ascii="Arial" w:hAnsi="Arial"/>
          <w:color w:val="000000"/>
        </w:rPr>
      </w:pPr>
      <w:r>
        <w:rPr>
          <w:rFonts w:ascii="Arial" w:hAnsi="Arial"/>
        </w:rPr>
        <w:t xml:space="preserve">Drilling and completing new wells, as well as redrilling and recompleting existing wells, account for 94 percent of the funding provided in this Category. Included in these activities is funding for rig move-in, drilling and casing, completion activities, drilling rig in-zone plugs and conditional abandonments, and unscheduled activity (fishing operations, cement squeezing, special logging, contract drilling services).   </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t xml:space="preserve">Exact specifications regarding the distribution of wells, bottom hole locations, and completion intervals will be determined by OXY Long Beach, Inc. (OLBI). These decisions will be influenced by contributions from reservoir engineering personnel, results from ongoing engineering studies, and new well performance. This information will be reviewed and approved in accordance with Unit Agreements during regularly scheduled Unit forums. </w:t>
      </w:r>
    </w:p>
    <w:p w:rsidR="004F7049" w:rsidRDefault="004F7049">
      <w:pPr>
        <w:pStyle w:val="BodyText2"/>
        <w:rPr>
          <w:rFonts w:ascii="Arial" w:hAnsi="Arial"/>
          <w:color w:val="000000"/>
        </w:rPr>
      </w:pPr>
    </w:p>
    <w:p w:rsidR="004F7049" w:rsidRDefault="004F7049">
      <w:pPr>
        <w:pStyle w:val="BodyText2"/>
        <w:rPr>
          <w:rFonts w:ascii="Arial" w:hAnsi="Arial"/>
          <w:color w:val="000000"/>
        </w:rPr>
      </w:pPr>
    </w:p>
    <w:p w:rsidR="004F7049" w:rsidRDefault="004F7049">
      <w:pPr>
        <w:pStyle w:val="BodyText2"/>
        <w:rPr>
          <w:rFonts w:ascii="Arial" w:hAnsi="Arial"/>
          <w:b/>
          <w:color w:val="000000"/>
          <w:sz w:val="28"/>
        </w:rPr>
      </w:pPr>
      <w:bookmarkStart w:id="11" w:name="_Toc222647839"/>
      <w:r>
        <w:rPr>
          <w:rStyle w:val="Heading2Char2"/>
          <w:rFonts w:ascii="Arial" w:hAnsi="Arial"/>
          <w:b/>
          <w:color w:val="000000"/>
        </w:rPr>
        <w:t>B. Operating Expense</w:t>
      </w:r>
      <w:bookmarkEnd w:id="11"/>
      <w:r>
        <w:rPr>
          <w:rStyle w:val="Heading2Char1"/>
          <w:rFonts w:ascii="Arial" w:hAnsi="Arial"/>
          <w:b/>
          <w:color w:val="000000"/>
        </w:rPr>
        <w:tab/>
      </w:r>
      <w:r>
        <w:rPr>
          <w:rFonts w:ascii="Arial" w:hAnsi="Arial"/>
          <w:b/>
          <w:color w:val="000000"/>
          <w:sz w:val="28"/>
        </w:rPr>
        <w:tab/>
      </w:r>
      <w:r>
        <w:rPr>
          <w:rFonts w:ascii="Arial" w:hAnsi="Arial"/>
          <w:b/>
          <w:color w:val="000000"/>
          <w:sz w:val="28"/>
        </w:rPr>
        <w:tab/>
      </w:r>
      <w:r>
        <w:rPr>
          <w:rFonts w:ascii="Arial" w:hAnsi="Arial"/>
          <w:b/>
          <w:color w:val="000000"/>
          <w:sz w:val="28"/>
        </w:rPr>
        <w:tab/>
        <w:t xml:space="preserve">             </w:t>
      </w:r>
      <w:r>
        <w:rPr>
          <w:rFonts w:ascii="Arial" w:hAnsi="Arial"/>
          <w:b/>
          <w:sz w:val="28"/>
        </w:rPr>
        <w:t>$103,800,000</w:t>
      </w:r>
    </w:p>
    <w:p w:rsidR="004F7049" w:rsidRDefault="004F7049">
      <w:pPr>
        <w:pStyle w:val="BodyText2"/>
        <w:rPr>
          <w:rFonts w:ascii="Arial" w:hAnsi="Arial"/>
          <w:b/>
          <w:color w:val="FF00FF"/>
        </w:rPr>
      </w:pPr>
    </w:p>
    <w:p w:rsidR="004F7049" w:rsidRDefault="004F7049">
      <w:pPr>
        <w:pStyle w:val="BodyText2"/>
        <w:rPr>
          <w:rFonts w:ascii="Arial" w:hAnsi="Arial"/>
          <w:color w:val="000000"/>
        </w:rPr>
      </w:pPr>
      <w:r>
        <w:rPr>
          <w:rFonts w:ascii="Arial" w:hAnsi="Arial"/>
          <w:color w:val="000000"/>
        </w:rPr>
        <w:t xml:space="preserve">The Operating Expense Category of expenditures encompasses the ongoing costs of day-to-day well production and injection operations necessary for producing, processing, and delivering crude oil and gas, and for all electric power charges.  Expenses for this Category are based on estimated oil production of </w:t>
      </w:r>
      <w:r>
        <w:rPr>
          <w:rFonts w:ascii="Arial" w:hAnsi="Arial"/>
        </w:rPr>
        <w:t>25.5</w:t>
      </w:r>
      <w:r>
        <w:rPr>
          <w:rFonts w:ascii="Arial" w:hAnsi="Arial"/>
          <w:color w:val="000000"/>
        </w:rPr>
        <w:t xml:space="preserve"> Mbopd, estimated gas production of </w:t>
      </w:r>
      <w:r>
        <w:rPr>
          <w:rFonts w:ascii="Arial" w:hAnsi="Arial"/>
        </w:rPr>
        <w:t>12.6</w:t>
      </w:r>
      <w:r>
        <w:rPr>
          <w:rFonts w:ascii="Arial" w:hAnsi="Arial"/>
          <w:color w:val="000000"/>
        </w:rPr>
        <w:t xml:space="preserve"> MMcfpd, water injection requirement of </w:t>
      </w:r>
      <w:r>
        <w:rPr>
          <w:rFonts w:ascii="Arial" w:hAnsi="Arial"/>
        </w:rPr>
        <w:t>1,039</w:t>
      </w:r>
      <w:r>
        <w:rPr>
          <w:rFonts w:ascii="Arial" w:hAnsi="Arial"/>
          <w:color w:val="000000"/>
        </w:rPr>
        <w:t xml:space="preserve"> Mbwpd, and water production of 955 Mbwpd. Anticipated operating expenses were based on operating three</w:t>
      </w:r>
      <w:r>
        <w:rPr>
          <w:rFonts w:ascii="Arial" w:hAnsi="Arial"/>
        </w:rPr>
        <w:t xml:space="preserve"> maintenance workover rigs per month for servicing an average active well count of 871 producers and 484 injectors.  Aband</w:t>
      </w:r>
      <w:r>
        <w:rPr>
          <w:rFonts w:ascii="Arial" w:hAnsi="Arial"/>
          <w:color w:val="000000"/>
        </w:rPr>
        <w:t>onment well count will be determined as a function of drilling activity and the number of idle wells with no future use.</w:t>
      </w:r>
    </w:p>
    <w:p w:rsidR="004F7049" w:rsidRDefault="004F7049">
      <w:pPr>
        <w:pStyle w:val="BodyText2"/>
        <w:rPr>
          <w:rFonts w:ascii="Arial" w:hAnsi="Arial"/>
          <w:color w:val="FF00FF"/>
        </w:rPr>
      </w:pPr>
    </w:p>
    <w:p w:rsidR="004F7049" w:rsidRDefault="004F7049">
      <w:pPr>
        <w:pStyle w:val="BodyText2"/>
        <w:rPr>
          <w:rFonts w:ascii="Arial" w:hAnsi="Arial"/>
          <w:color w:val="000000"/>
        </w:rPr>
      </w:pPr>
      <w:r>
        <w:rPr>
          <w:rFonts w:ascii="Arial" w:hAnsi="Arial"/>
          <w:color w:val="000000"/>
        </w:rPr>
        <w:t xml:space="preserve">The day-to-day costs for production and injection well subsurface operations represent approximately </w:t>
      </w:r>
      <w:r>
        <w:rPr>
          <w:rFonts w:ascii="Arial" w:hAnsi="Arial"/>
        </w:rPr>
        <w:t>36</w:t>
      </w:r>
      <w:r>
        <w:rPr>
          <w:rFonts w:ascii="Arial" w:hAnsi="Arial"/>
          <w:color w:val="000000"/>
        </w:rPr>
        <w:t xml:space="preserve"> percent of the funding provided in this Category. Included are funds for acidizing, fracturing, routine well work, well conversions, in-zone plugs, conditional abandonments, and other charges incurred for well maintenance. </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lastRenderedPageBreak/>
        <w:t xml:space="preserve">Electricity makes up </w:t>
      </w:r>
      <w:r>
        <w:rPr>
          <w:rFonts w:ascii="Arial" w:hAnsi="Arial"/>
        </w:rPr>
        <w:t>60</w:t>
      </w:r>
      <w:r>
        <w:rPr>
          <w:rFonts w:ascii="Arial" w:hAnsi="Arial"/>
          <w:color w:val="000000"/>
        </w:rPr>
        <w:t xml:space="preserve"> percent of the funds in this Category. </w:t>
      </w:r>
      <w:bookmarkStart w:id="12" w:name="OLE_LINK6"/>
      <w:bookmarkStart w:id="13" w:name="OLE_LINK7"/>
      <w:r>
        <w:rPr>
          <w:rFonts w:ascii="Arial" w:hAnsi="Arial"/>
          <w:color w:val="000000"/>
        </w:rPr>
        <w:t xml:space="preserve">Cost for electric power is based on </w:t>
      </w:r>
      <w:r>
        <w:rPr>
          <w:rFonts w:ascii="Arial" w:hAnsi="Arial"/>
        </w:rPr>
        <w:t>estimated kilowatt usage of</w:t>
      </w:r>
      <w:r>
        <w:rPr>
          <w:rFonts w:ascii="Arial" w:hAnsi="Arial"/>
          <w:color w:val="800080"/>
        </w:rPr>
        <w:t xml:space="preserve"> </w:t>
      </w:r>
      <w:r>
        <w:rPr>
          <w:rFonts w:ascii="Arial" w:hAnsi="Arial"/>
        </w:rPr>
        <w:t>669,559,000 kwh at an average rate of $0.092/kwh.</w:t>
      </w:r>
      <w:bookmarkEnd w:id="12"/>
      <w:bookmarkEnd w:id="13"/>
      <w:r>
        <w:rPr>
          <w:rFonts w:ascii="Arial" w:hAnsi="Arial"/>
          <w:color w:val="000000"/>
        </w:rPr>
        <w:t xml:space="preserve">  This cost includes all sources of Unit electrical power, including all costs associated with the power plant and electric utility purchases. </w:t>
      </w:r>
    </w:p>
    <w:p w:rsidR="004F7049" w:rsidRDefault="004F7049">
      <w:pPr>
        <w:pStyle w:val="BodyText2"/>
        <w:rPr>
          <w:rFonts w:ascii="Arial" w:hAnsi="Arial"/>
          <w:color w:val="000000"/>
        </w:rPr>
      </w:pPr>
    </w:p>
    <w:p w:rsidR="004F7049" w:rsidRDefault="004F7049">
      <w:pPr>
        <w:pStyle w:val="BodyText2"/>
        <w:rPr>
          <w:rFonts w:ascii="Arial" w:hAnsi="Arial"/>
          <w:b/>
          <w:color w:val="000000"/>
          <w:sz w:val="28"/>
        </w:rPr>
      </w:pPr>
      <w:bookmarkStart w:id="14" w:name="_Toc222647840"/>
      <w:r>
        <w:rPr>
          <w:rStyle w:val="Heading2Char2"/>
          <w:rFonts w:ascii="Arial" w:hAnsi="Arial"/>
          <w:b/>
          <w:color w:val="000000"/>
        </w:rPr>
        <w:t>C. Facilities, Maintenance, and Plant</w:t>
      </w:r>
      <w:bookmarkEnd w:id="14"/>
      <w:r>
        <w:rPr>
          <w:rFonts w:ascii="Arial" w:hAnsi="Arial"/>
          <w:b/>
          <w:color w:val="000000"/>
          <w:sz w:val="28"/>
        </w:rPr>
        <w:tab/>
        <w:t xml:space="preserve">  </w:t>
      </w:r>
      <w:r>
        <w:rPr>
          <w:rFonts w:ascii="Arial" w:hAnsi="Arial"/>
          <w:b/>
          <w:color w:val="000000"/>
          <w:sz w:val="28"/>
        </w:rPr>
        <w:tab/>
        <w:t xml:space="preserve">                </w:t>
      </w:r>
      <w:r>
        <w:rPr>
          <w:rFonts w:ascii="Arial" w:hAnsi="Arial"/>
          <w:b/>
          <w:sz w:val="28"/>
        </w:rPr>
        <w:t>$77,600,000</w:t>
      </w:r>
    </w:p>
    <w:p w:rsidR="004F7049" w:rsidRDefault="004F7049">
      <w:pPr>
        <w:pStyle w:val="BodyText2"/>
        <w:rPr>
          <w:rFonts w:ascii="Arial" w:hAnsi="Arial"/>
          <w:b/>
          <w:color w:val="000000"/>
          <w:sz w:val="28"/>
        </w:rPr>
      </w:pPr>
    </w:p>
    <w:p w:rsidR="004F7049" w:rsidRDefault="004F7049">
      <w:pPr>
        <w:pStyle w:val="BodyText2"/>
        <w:rPr>
          <w:rFonts w:ascii="Arial" w:hAnsi="Arial"/>
          <w:color w:val="000000"/>
        </w:rPr>
      </w:pPr>
      <w:r>
        <w:rPr>
          <w:rFonts w:ascii="Arial" w:hAnsi="Arial"/>
          <w:color w:val="000000"/>
        </w:rPr>
        <w:t xml:space="preserve">The Facilities, Maintenance, and Plant Category of expenditures encompasses costs for maintenance, repairs, upgrades, additions of surface facilities and pipelines, and costs for general field services. </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t xml:space="preserve">Approximately </w:t>
      </w:r>
      <w:r>
        <w:rPr>
          <w:rFonts w:ascii="Arial" w:hAnsi="Arial"/>
        </w:rPr>
        <w:t>50</w:t>
      </w:r>
      <w:r>
        <w:rPr>
          <w:rFonts w:ascii="Arial" w:hAnsi="Arial"/>
          <w:color w:val="000000"/>
        </w:rPr>
        <w:t xml:space="preserve"> percent of the funding in this Category is for general field and operating costs.  This includes, but is not limited to, charges for general labor, equipment rentals, and materials for general maintenance (painting, welding, electrical, etc.) of all Unit systems, such as oil gathering, treating, storage, and transfer; gas gathering and treating; scale and corrosion control; produced water handling; waste disposal; leasehold improvements; electrical system; fresh water system; fire protection and safety; marine operations; and automotive equipment. Funds are also provided for chemical purchases and laboratory-related charges for chemical treatment of produced and injected fluids; gas processing charges; make-up water; security; transportation; small tools; and other miscellaneous field activities. </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t xml:space="preserve">Approximately </w:t>
      </w:r>
      <w:r>
        <w:rPr>
          <w:rFonts w:ascii="Arial" w:hAnsi="Arial"/>
        </w:rPr>
        <w:t>50</w:t>
      </w:r>
      <w:r>
        <w:rPr>
          <w:rFonts w:ascii="Arial" w:hAnsi="Arial"/>
          <w:color w:val="000000"/>
        </w:rPr>
        <w:t xml:space="preserve"> percent of the funding in this Category is for facilities repair and improvement projects. Improvement projects may include spending for the facility capacity limits expansion, waste disposal, pipeline replacements, and other infrastructure related investments that position the Unit for longevity.</w:t>
      </w:r>
    </w:p>
    <w:p w:rsidR="004F7049" w:rsidRDefault="004F7049">
      <w:pPr>
        <w:pStyle w:val="BodyText2"/>
        <w:rPr>
          <w:rFonts w:ascii="Arial" w:hAnsi="Arial"/>
          <w:color w:val="000000"/>
        </w:rPr>
      </w:pPr>
    </w:p>
    <w:p w:rsidR="004F7049" w:rsidRDefault="004F7049">
      <w:pPr>
        <w:pStyle w:val="BodyText2"/>
        <w:rPr>
          <w:rFonts w:ascii="Arial" w:hAnsi="Arial"/>
          <w:color w:val="000000"/>
        </w:rPr>
      </w:pPr>
    </w:p>
    <w:p w:rsidR="004F7049" w:rsidRDefault="004F7049">
      <w:pPr>
        <w:pStyle w:val="BodyText2"/>
        <w:rPr>
          <w:rFonts w:ascii="Arial" w:hAnsi="Arial"/>
          <w:b/>
          <w:color w:val="000000"/>
          <w:sz w:val="28"/>
        </w:rPr>
      </w:pPr>
      <w:bookmarkStart w:id="15" w:name="_Toc222647841"/>
      <w:r>
        <w:rPr>
          <w:rStyle w:val="Heading2Char2"/>
          <w:rFonts w:ascii="Arial" w:hAnsi="Arial"/>
          <w:b/>
          <w:color w:val="000000"/>
        </w:rPr>
        <w:t>D. Unit Field Labor and Administrative</w:t>
      </w:r>
      <w:bookmarkEnd w:id="15"/>
      <w:r>
        <w:rPr>
          <w:rFonts w:ascii="Arial" w:hAnsi="Arial"/>
          <w:b/>
          <w:color w:val="000000"/>
          <w:sz w:val="28"/>
        </w:rPr>
        <w:tab/>
      </w:r>
      <w:r>
        <w:rPr>
          <w:rFonts w:ascii="Arial" w:hAnsi="Arial"/>
          <w:b/>
          <w:color w:val="000000"/>
          <w:sz w:val="28"/>
        </w:rPr>
        <w:tab/>
        <w:t xml:space="preserve">       </w:t>
      </w:r>
      <w:r>
        <w:rPr>
          <w:rFonts w:ascii="Arial" w:hAnsi="Arial"/>
          <w:b/>
          <w:sz w:val="28"/>
        </w:rPr>
        <w:t>$52,800,000</w:t>
      </w:r>
    </w:p>
    <w:p w:rsidR="004F7049" w:rsidRDefault="004F7049">
      <w:pPr>
        <w:pStyle w:val="BodyText2"/>
        <w:rPr>
          <w:rFonts w:ascii="Arial" w:hAnsi="Arial"/>
          <w:b/>
          <w:color w:val="000000"/>
          <w:sz w:val="28"/>
        </w:rPr>
      </w:pPr>
    </w:p>
    <w:p w:rsidR="004F7049" w:rsidRDefault="004F7049">
      <w:pPr>
        <w:pStyle w:val="BodyText2"/>
        <w:rPr>
          <w:rFonts w:ascii="Arial" w:hAnsi="Arial"/>
          <w:color w:val="000000"/>
        </w:rPr>
      </w:pPr>
      <w:r>
        <w:rPr>
          <w:rFonts w:ascii="Arial" w:hAnsi="Arial"/>
          <w:color w:val="000000"/>
        </w:rPr>
        <w:t>The Unit Field Labor and Administrative Category of expenditures encompasses costs for Unit personnel and other Unit support activities.</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t>Funding for Unit personnel includes costs of salaries, wages, benefits, training, and expenses of all Thums employees.  These costs represent approximately 80</w:t>
      </w:r>
      <w:r>
        <w:rPr>
          <w:rFonts w:ascii="Arial" w:hAnsi="Arial"/>
        </w:rPr>
        <w:t xml:space="preserve"> percent</w:t>
      </w:r>
      <w:r>
        <w:rPr>
          <w:rFonts w:ascii="Arial" w:hAnsi="Arial"/>
          <w:color w:val="000000"/>
        </w:rPr>
        <w:t xml:space="preserve"> of the Category total. </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t>Funding for Unit support activities includes, but is not limited to, costs for professional and temporary services necessary for the completion of support activities; charges for data processing; computer hardware and software; communications; office rent; general office equipment and materials; Unit Operator billable costs; OLBI billable costs; drafting and reprographic services; Department of Transportation drug and alcohol testing; special management projects; and other miscellaneous support charges.</w:t>
      </w:r>
    </w:p>
    <w:p w:rsidR="004F7049" w:rsidRDefault="004F7049">
      <w:pPr>
        <w:pStyle w:val="BodyText2"/>
        <w:rPr>
          <w:rFonts w:ascii="Arial" w:hAnsi="Arial"/>
          <w:color w:val="000000"/>
        </w:rPr>
      </w:pPr>
    </w:p>
    <w:p w:rsidR="004F7049" w:rsidRDefault="004F7049">
      <w:pPr>
        <w:pStyle w:val="BodyText2"/>
        <w:rPr>
          <w:rFonts w:ascii="Arial" w:hAnsi="Arial"/>
          <w:b/>
          <w:color w:val="000000"/>
          <w:sz w:val="28"/>
        </w:rPr>
      </w:pPr>
    </w:p>
    <w:p w:rsidR="004F7049" w:rsidRDefault="004F7049">
      <w:pPr>
        <w:pStyle w:val="BodyText2"/>
        <w:rPr>
          <w:rFonts w:ascii="Arial" w:hAnsi="Arial"/>
          <w:b/>
          <w:color w:val="000000"/>
          <w:sz w:val="28"/>
        </w:rPr>
      </w:pPr>
      <w:bookmarkStart w:id="16" w:name="_Toc222647842"/>
      <w:r>
        <w:rPr>
          <w:rStyle w:val="Heading2Char2"/>
          <w:rFonts w:ascii="Arial" w:hAnsi="Arial"/>
          <w:b/>
          <w:color w:val="000000"/>
        </w:rPr>
        <w:t>E. Taxes, Permits, and Administrative Overhead</w:t>
      </w:r>
      <w:bookmarkEnd w:id="16"/>
      <w:r>
        <w:rPr>
          <w:rFonts w:ascii="Arial" w:hAnsi="Arial"/>
          <w:b/>
          <w:color w:val="000000"/>
          <w:sz w:val="28"/>
        </w:rPr>
        <w:t xml:space="preserve">         </w:t>
      </w:r>
      <w:r>
        <w:rPr>
          <w:rFonts w:ascii="Arial" w:hAnsi="Arial"/>
          <w:b/>
          <w:sz w:val="28"/>
        </w:rPr>
        <w:t>$42,000,000</w:t>
      </w:r>
    </w:p>
    <w:p w:rsidR="004F7049" w:rsidRDefault="004F7049">
      <w:pPr>
        <w:pStyle w:val="BodyText2"/>
        <w:rPr>
          <w:rFonts w:ascii="Arial" w:hAnsi="Arial"/>
          <w:b/>
          <w:color w:val="000000"/>
          <w:sz w:val="28"/>
        </w:rPr>
      </w:pPr>
    </w:p>
    <w:p w:rsidR="004F7049" w:rsidRDefault="004F7049">
      <w:pPr>
        <w:pStyle w:val="BodyText2"/>
        <w:rPr>
          <w:rFonts w:ascii="Arial" w:hAnsi="Arial"/>
          <w:color w:val="000000"/>
        </w:rPr>
      </w:pPr>
      <w:r>
        <w:rPr>
          <w:rFonts w:ascii="Arial" w:hAnsi="Arial"/>
          <w:color w:val="000000"/>
        </w:rPr>
        <w:t>The Taxes, Permits, and Administrative Overhead Category of expenditures includes funds for specific taxes, permits, licenses, land leases, and all administrative overhead costs for the Unit.</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t>Funding is provided for taxes levied on personal property, mining rights, and oil production; for the Petroleum and Gas Fund Assessment; annual well permits and renewals; Conservation Committee of California Oil and Gas Producers Assessment; California Oil Spill Response, Prevention, and Administration fee; land leases; and</w:t>
      </w:r>
      <w:r>
        <w:rPr>
          <w:rFonts w:ascii="Arial" w:hAnsi="Arial"/>
          <w:color w:val="FF00FF"/>
        </w:rPr>
        <w:t xml:space="preserve"> </w:t>
      </w:r>
      <w:r>
        <w:rPr>
          <w:rFonts w:ascii="Arial" w:hAnsi="Arial"/>
          <w:color w:val="000000"/>
        </w:rPr>
        <w:t xml:space="preserve">pipeline right-of-way costs. These costs represent approximately </w:t>
      </w:r>
      <w:r>
        <w:rPr>
          <w:rFonts w:ascii="Arial" w:hAnsi="Arial"/>
        </w:rPr>
        <w:t>66</w:t>
      </w:r>
      <w:r>
        <w:rPr>
          <w:rFonts w:ascii="Arial" w:hAnsi="Arial"/>
          <w:color w:val="000000"/>
        </w:rPr>
        <w:t xml:space="preserve"> percent of the Category total.</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t>Funding is also provided in this Category for all Administrative Overhead as called for in Exhibit F of the Unit Operating Agreement.</w:t>
      </w:r>
    </w:p>
    <w:p w:rsidR="004F7049" w:rsidRDefault="004F7049">
      <w:pPr>
        <w:pStyle w:val="BodyText2"/>
        <w:rPr>
          <w:rFonts w:ascii="Arial" w:hAnsi="Arial"/>
          <w:color w:val="000000"/>
          <w:sz w:val="28"/>
        </w:rPr>
      </w:pPr>
    </w:p>
    <w:p w:rsidR="004F7049" w:rsidRDefault="004F7049">
      <w:pPr>
        <w:pStyle w:val="Heading1"/>
        <w:jc w:val="center"/>
        <w:rPr>
          <w:rFonts w:ascii="Arial" w:hAnsi="Arial"/>
          <w:b/>
          <w:color w:val="000000"/>
          <w:sz w:val="36"/>
        </w:rPr>
      </w:pPr>
      <w:r>
        <w:rPr>
          <w:rFonts w:ascii="Arial" w:hAnsi="Arial"/>
          <w:color w:val="000000"/>
          <w:sz w:val="28"/>
        </w:rPr>
        <w:br w:type="page"/>
      </w:r>
      <w:bookmarkStart w:id="17" w:name="_Toc222647843"/>
      <w:r>
        <w:rPr>
          <w:rFonts w:ascii="Arial" w:hAnsi="Arial" w:cs="Arial"/>
          <w:b/>
          <w:bCs/>
          <w:sz w:val="36"/>
          <w:szCs w:val="36"/>
        </w:rPr>
        <w:lastRenderedPageBreak/>
        <w:t>PART IV - Definitions</w:t>
      </w:r>
      <w:bookmarkEnd w:id="17"/>
    </w:p>
    <w:p w:rsidR="004F7049" w:rsidRDefault="004F7049">
      <w:pPr>
        <w:pStyle w:val="BodyText2"/>
        <w:rPr>
          <w:rFonts w:ascii="Arial" w:hAnsi="Arial"/>
          <w:b/>
          <w:color w:val="000000"/>
          <w:sz w:val="36"/>
        </w:rPr>
      </w:pPr>
    </w:p>
    <w:p w:rsidR="004F7049" w:rsidRDefault="004F7049">
      <w:pPr>
        <w:pStyle w:val="BodyText2"/>
        <w:rPr>
          <w:rFonts w:ascii="Arial" w:hAnsi="Arial"/>
          <w:color w:val="000000"/>
        </w:rPr>
      </w:pPr>
      <w:r>
        <w:rPr>
          <w:rFonts w:ascii="Arial" w:hAnsi="Arial"/>
          <w:color w:val="000000"/>
        </w:rPr>
        <w:t>This Annual Plan may be Modified or Supplemented after review by the State Lands Commission for consistency with the current Program Plan. All Modifications and Supplements to this plan will be presented by the Long Beach Gas and Oil Department, City of Long Beach, acting with the consent of OLBI, to the State Lands Commission in accordance with Article 2.06 of the Optimized Waterflood Program</w:t>
      </w:r>
      <w:r>
        <w:rPr>
          <w:rFonts w:ascii="Arial" w:hAnsi="Arial"/>
          <w:color w:val="FF00FF"/>
        </w:rPr>
        <w:t xml:space="preserve"> </w:t>
      </w:r>
      <w:r>
        <w:rPr>
          <w:rFonts w:ascii="Arial" w:hAnsi="Arial"/>
          <w:color w:val="000000"/>
        </w:rPr>
        <w:t>Agreement.</w:t>
      </w:r>
    </w:p>
    <w:p w:rsidR="004F7049" w:rsidRDefault="004F7049">
      <w:pPr>
        <w:pStyle w:val="BodyText2"/>
        <w:rPr>
          <w:rFonts w:ascii="Arial" w:hAnsi="Arial"/>
          <w:color w:val="000000"/>
        </w:rPr>
      </w:pPr>
    </w:p>
    <w:p w:rsidR="004F7049" w:rsidRDefault="004F7049">
      <w:pPr>
        <w:pStyle w:val="BodyText2"/>
        <w:rPr>
          <w:rFonts w:ascii="Arial" w:hAnsi="Arial"/>
          <w:color w:val="000000"/>
        </w:rPr>
      </w:pPr>
      <w:r>
        <w:rPr>
          <w:rFonts w:ascii="Arial" w:hAnsi="Arial"/>
          <w:color w:val="000000"/>
        </w:rPr>
        <w:t>In addition, on or before October 1, 2010 the City of Long Beach shall present to the State Lands Commission a final report and closing statement of the FY09/10 Annual Plan, in accordance with the provision in Section 10 of Chapter 138.</w:t>
      </w:r>
    </w:p>
    <w:p w:rsidR="004F7049" w:rsidRDefault="004F7049">
      <w:pPr>
        <w:pStyle w:val="BodyText2"/>
        <w:rPr>
          <w:rFonts w:ascii="Arial" w:hAnsi="Arial"/>
          <w:color w:val="000000"/>
        </w:rPr>
      </w:pPr>
    </w:p>
    <w:p w:rsidR="004F7049" w:rsidRDefault="004F7049">
      <w:pPr>
        <w:pStyle w:val="BodyText2"/>
        <w:tabs>
          <w:tab w:val="left" w:pos="1080"/>
        </w:tabs>
        <w:ind w:left="1080" w:hanging="360"/>
        <w:rPr>
          <w:rFonts w:ascii="Arial" w:hAnsi="Arial"/>
          <w:color w:val="FF00FF"/>
        </w:rPr>
      </w:pPr>
    </w:p>
    <w:p w:rsidR="004F7049" w:rsidRDefault="004F7049">
      <w:pPr>
        <w:pStyle w:val="Heading2"/>
        <w:rPr>
          <w:rFonts w:ascii="Arial" w:hAnsi="Arial"/>
          <w:b/>
          <w:color w:val="000000"/>
        </w:rPr>
      </w:pPr>
      <w:bookmarkStart w:id="18" w:name="_Toc222647844"/>
      <w:r>
        <w:rPr>
          <w:rFonts w:ascii="Arial" w:hAnsi="Arial"/>
          <w:b/>
          <w:color w:val="000000"/>
        </w:rPr>
        <w:t>A. Modifications</w:t>
      </w:r>
      <w:bookmarkEnd w:id="18"/>
    </w:p>
    <w:p w:rsidR="004F7049" w:rsidRDefault="004F7049">
      <w:pPr>
        <w:pStyle w:val="BodyText2"/>
        <w:tabs>
          <w:tab w:val="left" w:pos="0"/>
        </w:tabs>
        <w:rPr>
          <w:rFonts w:ascii="Arial" w:hAnsi="Arial"/>
          <w:b/>
          <w:color w:val="000000"/>
          <w:sz w:val="28"/>
        </w:rPr>
      </w:pPr>
    </w:p>
    <w:p w:rsidR="004F7049" w:rsidRDefault="004F7049">
      <w:pPr>
        <w:pStyle w:val="BodyText2"/>
        <w:tabs>
          <w:tab w:val="left" w:pos="0"/>
        </w:tabs>
        <w:rPr>
          <w:rFonts w:ascii="Arial" w:hAnsi="Arial"/>
          <w:color w:val="000000"/>
        </w:rPr>
      </w:pPr>
      <w:r>
        <w:rPr>
          <w:rFonts w:ascii="Arial" w:hAnsi="Arial"/>
          <w:color w:val="000000"/>
        </w:rPr>
        <w:t>The City of Long Beach, acting with the consent of OLBI, has the authority to cause the expenditures of funds for Unit Operations in excess of the amount set forth in the budget included in the Annual Plan, provided, however, that no such expenditure shall be incurred that would result in any category of expenditures set forth in the budget to exceed 120 percent of the budgeted amount for that category. A budget modification would be required for any expenditures which would cause a budget category to exceed its budgeted amount by 120 percent.</w:t>
      </w:r>
    </w:p>
    <w:p w:rsidR="004F7049" w:rsidRDefault="004F7049">
      <w:pPr>
        <w:pStyle w:val="BodyText2"/>
        <w:tabs>
          <w:tab w:val="left" w:pos="0"/>
        </w:tabs>
        <w:rPr>
          <w:rFonts w:ascii="Arial" w:hAnsi="Arial"/>
          <w:color w:val="000000"/>
        </w:rPr>
      </w:pPr>
    </w:p>
    <w:p w:rsidR="004F7049" w:rsidRDefault="004F7049">
      <w:pPr>
        <w:pStyle w:val="BodyText2"/>
        <w:tabs>
          <w:tab w:val="left" w:pos="0"/>
        </w:tabs>
        <w:rPr>
          <w:rFonts w:ascii="Arial" w:hAnsi="Arial"/>
          <w:color w:val="000000"/>
        </w:rPr>
      </w:pPr>
      <w:r>
        <w:rPr>
          <w:rFonts w:ascii="Arial" w:hAnsi="Arial"/>
          <w:color w:val="000000"/>
        </w:rPr>
        <w:t>Any transfer of funds between budget categories or an augmentation or decrease of the entire budget may be accomplished by a budget modification in accordance with section 5(g) of Chapter 138 and Article 2.06 of the Optimized Waterflood Program Agreement.</w:t>
      </w:r>
    </w:p>
    <w:p w:rsidR="004F7049" w:rsidRDefault="004F7049">
      <w:pPr>
        <w:pStyle w:val="BodyText2"/>
        <w:tabs>
          <w:tab w:val="left" w:pos="0"/>
        </w:tabs>
        <w:rPr>
          <w:rFonts w:ascii="Arial" w:hAnsi="Arial"/>
          <w:color w:val="000000"/>
        </w:rPr>
      </w:pPr>
    </w:p>
    <w:p w:rsidR="004F7049" w:rsidRDefault="004F7049">
      <w:pPr>
        <w:pStyle w:val="BodyText2"/>
        <w:tabs>
          <w:tab w:val="left" w:pos="0"/>
        </w:tabs>
        <w:rPr>
          <w:rFonts w:ascii="Arial" w:hAnsi="Arial"/>
          <w:color w:val="000000"/>
        </w:rPr>
      </w:pPr>
      <w:r>
        <w:rPr>
          <w:rFonts w:ascii="Arial" w:hAnsi="Arial"/>
          <w:color w:val="000000"/>
        </w:rPr>
        <w:t>Investment, facilities, and management expense projects commenced in prior budget periods, which are to be continued during the current budget period, may be added to this budget by a modification in accordance with Article 2.06 of the Optimized Waterflood Program Agreement.</w:t>
      </w:r>
    </w:p>
    <w:p w:rsidR="004F7049" w:rsidRDefault="004F7049">
      <w:pPr>
        <w:pStyle w:val="BodyText2"/>
        <w:tabs>
          <w:tab w:val="left" w:pos="0"/>
        </w:tabs>
        <w:rPr>
          <w:rFonts w:ascii="Arial" w:hAnsi="Arial"/>
          <w:color w:val="000000"/>
        </w:rPr>
      </w:pPr>
    </w:p>
    <w:p w:rsidR="004F7049" w:rsidRDefault="004F7049">
      <w:pPr>
        <w:pStyle w:val="BodyText2"/>
        <w:tabs>
          <w:tab w:val="left" w:pos="0"/>
        </w:tabs>
        <w:rPr>
          <w:rFonts w:ascii="Arial" w:hAnsi="Arial"/>
          <w:color w:val="000000"/>
        </w:rPr>
      </w:pPr>
    </w:p>
    <w:p w:rsidR="004F7049" w:rsidRDefault="004F7049">
      <w:pPr>
        <w:pStyle w:val="Heading2"/>
        <w:rPr>
          <w:rFonts w:ascii="Arial" w:hAnsi="Arial"/>
          <w:b/>
          <w:color w:val="000000"/>
        </w:rPr>
      </w:pPr>
      <w:bookmarkStart w:id="19" w:name="_Toc222647845"/>
      <w:r>
        <w:rPr>
          <w:rFonts w:ascii="Arial" w:hAnsi="Arial"/>
          <w:b/>
          <w:color w:val="000000"/>
        </w:rPr>
        <w:t>B. Supplements</w:t>
      </w:r>
      <w:bookmarkEnd w:id="19"/>
    </w:p>
    <w:p w:rsidR="004F7049" w:rsidRDefault="004F7049">
      <w:pPr>
        <w:pStyle w:val="BodyText2"/>
        <w:tabs>
          <w:tab w:val="left" w:pos="0"/>
        </w:tabs>
        <w:rPr>
          <w:rFonts w:ascii="Arial" w:hAnsi="Arial"/>
          <w:b/>
          <w:color w:val="000000"/>
          <w:sz w:val="28"/>
        </w:rPr>
      </w:pPr>
    </w:p>
    <w:p w:rsidR="004F7049" w:rsidRDefault="004F7049">
      <w:pPr>
        <w:pStyle w:val="BodyText2"/>
        <w:rPr>
          <w:rFonts w:ascii="Arial" w:hAnsi="Arial"/>
          <w:b/>
          <w:color w:val="000000"/>
          <w:sz w:val="28"/>
        </w:rPr>
      </w:pPr>
      <w:r>
        <w:rPr>
          <w:rFonts w:ascii="Arial" w:hAnsi="Arial"/>
          <w:color w:val="000000"/>
        </w:rPr>
        <w:t>This Annual Plan contains all the investment and expense projects reasonably anticipated at the time the Plan was drafted and for which adequate detailed studies existed. Any significant and uncommon expenses not originally contemplated may be added to this budget or transferred by a supplement in accordance with Article 2.06 of the Optimized Waterflood Program Agreement. The amount of the supplement shall include sufficient funds to complete the projects.</w:t>
      </w:r>
      <w:r>
        <w:rPr>
          <w:rFonts w:ascii="Arial" w:hAnsi="Arial"/>
          <w:b/>
          <w:color w:val="000000"/>
          <w:sz w:val="28"/>
        </w:rPr>
        <w:t xml:space="preserve"> </w:t>
      </w:r>
    </w:p>
    <w:p w:rsidR="004F7049" w:rsidRDefault="004F7049">
      <w:pPr>
        <w:pStyle w:val="BodyText2"/>
        <w:rPr>
          <w:rFonts w:ascii="Arial" w:hAnsi="Arial"/>
          <w:b/>
          <w:color w:val="000000"/>
          <w:sz w:val="28"/>
        </w:rPr>
      </w:pPr>
    </w:p>
    <w:p w:rsidR="004F7049" w:rsidRDefault="004F7049">
      <w:pPr>
        <w:pStyle w:val="BodyText2"/>
        <w:rPr>
          <w:rFonts w:ascii="Arial" w:hAnsi="Arial"/>
          <w:b/>
          <w:color w:val="000000"/>
          <w:sz w:val="28"/>
        </w:rPr>
      </w:pPr>
    </w:p>
    <w:p w:rsidR="004F7049" w:rsidRDefault="004F7049">
      <w:pPr>
        <w:pStyle w:val="Heading2"/>
        <w:rPr>
          <w:rFonts w:ascii="Arial" w:hAnsi="Arial"/>
          <w:b/>
          <w:color w:val="000000"/>
        </w:rPr>
      </w:pPr>
      <w:bookmarkStart w:id="20" w:name="_Toc222647846"/>
      <w:r>
        <w:rPr>
          <w:rFonts w:ascii="Arial" w:hAnsi="Arial"/>
          <w:b/>
          <w:color w:val="000000"/>
        </w:rPr>
        <w:t>C. Final Report and Closing Statement</w:t>
      </w:r>
      <w:bookmarkEnd w:id="20"/>
    </w:p>
    <w:p w:rsidR="004F7049" w:rsidRDefault="004F7049">
      <w:pPr>
        <w:pStyle w:val="BodyText2"/>
        <w:rPr>
          <w:rFonts w:ascii="Arial" w:hAnsi="Arial"/>
          <w:b/>
          <w:color w:val="000000"/>
          <w:sz w:val="28"/>
        </w:rPr>
      </w:pPr>
    </w:p>
    <w:p w:rsidR="004F7049" w:rsidRDefault="004F7049">
      <w:pPr>
        <w:pStyle w:val="BodyText2"/>
        <w:tabs>
          <w:tab w:val="left" w:pos="900"/>
        </w:tabs>
        <w:rPr>
          <w:rFonts w:ascii="Arial" w:hAnsi="Arial"/>
          <w:color w:val="000000"/>
        </w:rPr>
      </w:pPr>
      <w:r>
        <w:rPr>
          <w:rFonts w:ascii="Arial" w:hAnsi="Arial"/>
          <w:color w:val="000000"/>
        </w:rPr>
        <w:t>The final report and closing statement for FY09/10 shall contain a reconciliation by category as finally modified and the actual accomplishments, including:</w:t>
      </w:r>
    </w:p>
    <w:p w:rsidR="004F7049" w:rsidRDefault="004F7049">
      <w:pPr>
        <w:pStyle w:val="BodyText2"/>
        <w:tabs>
          <w:tab w:val="left" w:pos="900"/>
        </w:tabs>
        <w:rPr>
          <w:rFonts w:ascii="Arial" w:hAnsi="Arial"/>
          <w:color w:val="000000"/>
        </w:rPr>
      </w:pPr>
    </w:p>
    <w:p w:rsidR="004F7049" w:rsidRDefault="004F7049">
      <w:pPr>
        <w:pStyle w:val="BodyText2"/>
        <w:ind w:left="720" w:hanging="720"/>
        <w:rPr>
          <w:rFonts w:ascii="Arial" w:hAnsi="Arial"/>
          <w:color w:val="000000"/>
        </w:rPr>
      </w:pPr>
      <w:r>
        <w:rPr>
          <w:rFonts w:ascii="Arial" w:hAnsi="Arial"/>
          <w:color w:val="000000"/>
        </w:rPr>
        <w:t>1.</w:t>
      </w:r>
      <w:r>
        <w:rPr>
          <w:rFonts w:ascii="Arial" w:hAnsi="Arial"/>
          <w:color w:val="000000"/>
        </w:rPr>
        <w:tab/>
        <w:t>New wells and redrills by zone.</w:t>
      </w:r>
    </w:p>
    <w:p w:rsidR="004F7049" w:rsidRDefault="004F7049">
      <w:pPr>
        <w:pStyle w:val="BodyText2"/>
        <w:ind w:left="720" w:hanging="720"/>
        <w:rPr>
          <w:rFonts w:ascii="Arial" w:hAnsi="Arial"/>
          <w:color w:val="000000"/>
        </w:rPr>
      </w:pPr>
    </w:p>
    <w:p w:rsidR="004F7049" w:rsidRDefault="004F7049">
      <w:pPr>
        <w:pStyle w:val="BodyText2"/>
        <w:ind w:left="720" w:hanging="720"/>
        <w:rPr>
          <w:rFonts w:ascii="Arial" w:hAnsi="Arial"/>
          <w:color w:val="000000"/>
        </w:rPr>
      </w:pPr>
      <w:r>
        <w:rPr>
          <w:rFonts w:ascii="Arial" w:hAnsi="Arial"/>
          <w:color w:val="000000"/>
        </w:rPr>
        <w:t>2.</w:t>
      </w:r>
      <w:r>
        <w:rPr>
          <w:rFonts w:ascii="Arial" w:hAnsi="Arial"/>
          <w:color w:val="000000"/>
        </w:rPr>
        <w:tab/>
        <w:t>Facilities and capital projects.</w:t>
      </w:r>
    </w:p>
    <w:p w:rsidR="004F7049" w:rsidRDefault="004F7049">
      <w:pPr>
        <w:pStyle w:val="BodyText2"/>
        <w:ind w:left="720" w:hanging="720"/>
        <w:rPr>
          <w:rFonts w:ascii="Arial" w:hAnsi="Arial"/>
          <w:color w:val="000000"/>
        </w:rPr>
      </w:pPr>
    </w:p>
    <w:p w:rsidR="004F7049" w:rsidRDefault="004F7049">
      <w:pPr>
        <w:pStyle w:val="BodyText2"/>
        <w:ind w:left="720" w:hanging="720"/>
        <w:rPr>
          <w:rFonts w:ascii="Arial" w:hAnsi="Arial"/>
          <w:color w:val="000000"/>
        </w:rPr>
      </w:pPr>
      <w:r>
        <w:rPr>
          <w:rFonts w:ascii="Arial" w:hAnsi="Arial"/>
          <w:color w:val="000000"/>
        </w:rPr>
        <w:t>3.</w:t>
      </w:r>
      <w:r>
        <w:rPr>
          <w:rFonts w:ascii="Arial" w:hAnsi="Arial"/>
          <w:color w:val="000000"/>
        </w:rPr>
        <w:tab/>
        <w:t>Production by zone.</w:t>
      </w:r>
    </w:p>
    <w:p w:rsidR="004F7049" w:rsidRDefault="004F7049">
      <w:pPr>
        <w:pStyle w:val="BodyText2"/>
        <w:ind w:left="720" w:hanging="720"/>
        <w:rPr>
          <w:color w:val="000000"/>
        </w:rPr>
      </w:pPr>
    </w:p>
    <w:p w:rsidR="004F7049" w:rsidRDefault="004F7049">
      <w:pPr>
        <w:pStyle w:val="BodyText2"/>
        <w:ind w:left="720" w:hanging="720"/>
        <w:rPr>
          <w:rFonts w:ascii="Arial" w:hAnsi="Arial"/>
          <w:color w:val="000000"/>
        </w:rPr>
      </w:pPr>
      <w:r>
        <w:rPr>
          <w:color w:val="000000"/>
        </w:rPr>
        <w:t>4.</w:t>
      </w:r>
      <w:r>
        <w:rPr>
          <w:color w:val="000000"/>
        </w:rPr>
        <w:tab/>
      </w:r>
      <w:r>
        <w:rPr>
          <w:rFonts w:ascii="Arial" w:hAnsi="Arial"/>
          <w:color w:val="000000"/>
        </w:rPr>
        <w:t>Injection by zone.</w:t>
      </w:r>
    </w:p>
    <w:p w:rsidR="004F7049" w:rsidRDefault="004F7049">
      <w:pPr>
        <w:pStyle w:val="BodyText2"/>
        <w:tabs>
          <w:tab w:val="left" w:pos="0"/>
        </w:tabs>
        <w:rPr>
          <w:rFonts w:ascii="Arial" w:hAnsi="Arial"/>
          <w:color w:val="000000"/>
        </w:rPr>
      </w:pPr>
    </w:p>
    <w:p w:rsidR="004F7049" w:rsidRDefault="004F7049"/>
    <w:sectPr w:rsidR="004F7049">
      <w:headerReference w:type="first" r:id="rId14"/>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C2F" w:rsidRDefault="00415C2F">
      <w:r>
        <w:separator/>
      </w:r>
    </w:p>
  </w:endnote>
  <w:endnote w:type="continuationSeparator" w:id="1">
    <w:p w:rsidR="00415C2F" w:rsidRDefault="00415C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49" w:rsidRDefault="004F70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049" w:rsidRDefault="004F70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49" w:rsidRDefault="004F7049">
    <w:pPr>
      <w:pStyle w:val="Footer"/>
      <w:ind w:right="360"/>
    </w:pPr>
    <w:r>
      <w:rPr>
        <w:rStyle w:val="PageNumber"/>
      </w:rPr>
      <w:t>ANNUAL PLAN FY10</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232F6">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C2F" w:rsidRDefault="00415C2F">
      <w:r>
        <w:separator/>
      </w:r>
    </w:p>
  </w:footnote>
  <w:footnote w:type="continuationSeparator" w:id="1">
    <w:p w:rsidR="00415C2F" w:rsidRDefault="00415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49" w:rsidRDefault="004F7049">
    <w:pPr>
      <w:pStyle w:val="Header"/>
      <w:rPr>
        <w:color w:val="FF0000"/>
      </w:rP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49" w:rsidRDefault="004F7049">
    <w:pPr>
      <w:pStyle w:val="Header"/>
      <w:rPr>
        <w:color w:val="FF0000"/>
      </w:rP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49" w:rsidRDefault="004F7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44CAF"/>
    <w:multiLevelType w:val="singleLevel"/>
    <w:tmpl w:val="07E2BD18"/>
    <w:lvl w:ilvl="0">
      <w:start w:val="1"/>
      <w:numFmt w:val="bullet"/>
      <w:lvlText w:val=""/>
      <w:lvlJc w:val="left"/>
      <w:pPr>
        <w:tabs>
          <w:tab w:val="num" w:pos="576"/>
        </w:tabs>
        <w:ind w:left="576" w:hanging="360"/>
      </w:pPr>
      <w:rPr>
        <w:rFonts w:ascii="Wingdings" w:hAnsi="Wingdings" w:hint="default"/>
        <w:sz w:val="16"/>
      </w:rPr>
    </w:lvl>
  </w:abstractNum>
  <w:abstractNum w:abstractNumId="1">
    <w:nsid w:val="62CF5E46"/>
    <w:multiLevelType w:val="hybridMultilevel"/>
    <w:tmpl w:val="6F1845E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noPunctuationKerning/>
  <w:characterSpacingControl w:val="doNotCompress"/>
  <w:footnotePr>
    <w:footnote w:id="0"/>
    <w:footnote w:id="1"/>
  </w:footnotePr>
  <w:endnotePr>
    <w:endnote w:id="0"/>
    <w:endnote w:id="1"/>
  </w:endnotePr>
  <w:compat/>
  <w:rsids>
    <w:rsidRoot w:val="00A47961"/>
    <w:rsid w:val="00415C2F"/>
    <w:rsid w:val="004F7049"/>
    <w:rsid w:val="00A47961"/>
    <w:rsid w:val="00A86491"/>
    <w:rsid w:val="00CE5E4B"/>
    <w:rsid w:val="00E232F6"/>
    <w:rsid w:val="00EF7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jc w:val="both"/>
      <w:outlineLvl w:val="4"/>
    </w:pPr>
    <w:rPr>
      <w:b/>
      <w:sz w:val="24"/>
      <w:u w:val="single"/>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outlineLvl w:val="6"/>
    </w:pPr>
    <w:rPr>
      <w:sz w:val="36"/>
    </w:rPr>
  </w:style>
  <w:style w:type="paragraph" w:styleId="Heading8">
    <w:name w:val="heading 8"/>
    <w:basedOn w:val="Normal"/>
    <w:next w:val="Normal"/>
    <w:qFormat/>
    <w:pPr>
      <w:keepNext/>
      <w:tabs>
        <w:tab w:val="left" w:pos="7920"/>
      </w:tabs>
      <w:ind w:right="720"/>
      <w:outlineLvl w:val="7"/>
    </w:pPr>
    <w:rPr>
      <w:sz w:val="28"/>
    </w:rPr>
  </w:style>
  <w:style w:type="paragraph" w:styleId="Heading9">
    <w:name w:val="heading 9"/>
    <w:basedOn w:val="Normal"/>
    <w:next w:val="Normal"/>
    <w:qFormat/>
    <w:pPr>
      <w:keepNext/>
      <w:ind w:right="720" w:firstLine="720"/>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 w:type="paragraph" w:styleId="BodyText2">
    <w:name w:val="Body Text 2"/>
    <w:basedOn w:val="Normal"/>
    <w:semiHidden/>
    <w:pPr>
      <w:jc w:val="both"/>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right="720" w:firstLine="720"/>
    </w:pPr>
    <w:rPr>
      <w:sz w:val="28"/>
    </w:rPr>
  </w:style>
  <w:style w:type="paragraph" w:styleId="Caption">
    <w:name w:val="caption"/>
    <w:basedOn w:val="Normal"/>
    <w:next w:val="Normal"/>
    <w:qFormat/>
    <w:pPr>
      <w:spacing w:before="120" w:after="120" w:line="120" w:lineRule="auto"/>
      <w:jc w:val="center"/>
    </w:pPr>
    <w:rPr>
      <w:rFonts w:ascii="Palatino" w:hAnsi="Palatino"/>
      <w:b/>
      <w:sz w:val="28"/>
    </w:rPr>
  </w:style>
  <w:style w:type="paragraph" w:styleId="TOC2">
    <w:name w:val="toc 2"/>
    <w:basedOn w:val="Normal"/>
    <w:next w:val="Normal"/>
    <w:autoRedefine/>
    <w:semiHidden/>
    <w:pPr>
      <w:ind w:left="200"/>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style>
  <w:style w:type="character" w:styleId="Hyperlink">
    <w:name w:val="Hyperlink"/>
    <w:basedOn w:val="DefaultParagraphFont"/>
    <w:semiHidden/>
    <w:rPr>
      <w:color w:val="0000FF"/>
      <w:u w:val="single"/>
    </w:rPr>
  </w:style>
  <w:style w:type="character" w:customStyle="1" w:styleId="Heading2Char">
    <w:name w:val="Heading 2 Char"/>
    <w:basedOn w:val="DefaultParagraphFont"/>
    <w:rPr>
      <w:sz w:val="28"/>
      <w:lang w:val="en-US" w:eastAsia="en-US" w:bidi="ar-SA"/>
    </w:rPr>
  </w:style>
  <w:style w:type="character" w:customStyle="1" w:styleId="Heading2Char1">
    <w:name w:val="Heading 2 Char1"/>
    <w:basedOn w:val="DefaultParagraphFont"/>
    <w:rPr>
      <w:sz w:val="28"/>
      <w:lang w:val="en-US" w:eastAsia="en-US" w:bidi="ar-SA"/>
    </w:rPr>
  </w:style>
  <w:style w:type="character" w:customStyle="1" w:styleId="Heading2Char2">
    <w:name w:val="Heading 2 Char2"/>
    <w:basedOn w:val="DefaultParagraphFont"/>
    <w:rPr>
      <w:sz w:val="28"/>
      <w:lang w:val="en-US" w:eastAsia="en-US" w:bidi="ar-SA"/>
    </w:rPr>
  </w:style>
  <w:style w:type="paragraph" w:styleId="Index1">
    <w:name w:val="index 1"/>
    <w:basedOn w:val="Normal"/>
    <w:next w:val="Normal"/>
    <w:autoRedefine/>
    <w:semiHidden/>
    <w:pPr>
      <w:ind w:left="200" w:hanging="200"/>
    </w:pPr>
  </w:style>
  <w:style w:type="character" w:customStyle="1" w:styleId="Heading1Char">
    <w:name w:val="Heading 1 Char"/>
    <w:basedOn w:val="DefaultParagraphFont"/>
    <w:rPr>
      <w:sz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Long Beach Unit</vt:lpstr>
    </vt:vector>
  </TitlesOfParts>
  <Company>Oxy</Company>
  <LinksUpToDate>false</LinksUpToDate>
  <CharactersWithSpaces>17220</CharactersWithSpaces>
  <SharedDoc>false</SharedDoc>
  <HLinks>
    <vt:vector size="102" baseType="variant">
      <vt:variant>
        <vt:i4>1048636</vt:i4>
      </vt:variant>
      <vt:variant>
        <vt:i4>98</vt:i4>
      </vt:variant>
      <vt:variant>
        <vt:i4>0</vt:i4>
      </vt:variant>
      <vt:variant>
        <vt:i4>5</vt:i4>
      </vt:variant>
      <vt:variant>
        <vt:lpwstr/>
      </vt:variant>
      <vt:variant>
        <vt:lpwstr>_Toc222647846</vt:lpwstr>
      </vt:variant>
      <vt:variant>
        <vt:i4>1048636</vt:i4>
      </vt:variant>
      <vt:variant>
        <vt:i4>92</vt:i4>
      </vt:variant>
      <vt:variant>
        <vt:i4>0</vt:i4>
      </vt:variant>
      <vt:variant>
        <vt:i4>5</vt:i4>
      </vt:variant>
      <vt:variant>
        <vt:lpwstr/>
      </vt:variant>
      <vt:variant>
        <vt:lpwstr>_Toc222647845</vt:lpwstr>
      </vt:variant>
      <vt:variant>
        <vt:i4>1048636</vt:i4>
      </vt:variant>
      <vt:variant>
        <vt:i4>86</vt:i4>
      </vt:variant>
      <vt:variant>
        <vt:i4>0</vt:i4>
      </vt:variant>
      <vt:variant>
        <vt:i4>5</vt:i4>
      </vt:variant>
      <vt:variant>
        <vt:lpwstr/>
      </vt:variant>
      <vt:variant>
        <vt:lpwstr>_Toc222647844</vt:lpwstr>
      </vt:variant>
      <vt:variant>
        <vt:i4>1048636</vt:i4>
      </vt:variant>
      <vt:variant>
        <vt:i4>80</vt:i4>
      </vt:variant>
      <vt:variant>
        <vt:i4>0</vt:i4>
      </vt:variant>
      <vt:variant>
        <vt:i4>5</vt:i4>
      </vt:variant>
      <vt:variant>
        <vt:lpwstr/>
      </vt:variant>
      <vt:variant>
        <vt:lpwstr>_Toc222647843</vt:lpwstr>
      </vt:variant>
      <vt:variant>
        <vt:i4>1048636</vt:i4>
      </vt:variant>
      <vt:variant>
        <vt:i4>74</vt:i4>
      </vt:variant>
      <vt:variant>
        <vt:i4>0</vt:i4>
      </vt:variant>
      <vt:variant>
        <vt:i4>5</vt:i4>
      </vt:variant>
      <vt:variant>
        <vt:lpwstr/>
      </vt:variant>
      <vt:variant>
        <vt:lpwstr>_Toc222647842</vt:lpwstr>
      </vt:variant>
      <vt:variant>
        <vt:i4>1048636</vt:i4>
      </vt:variant>
      <vt:variant>
        <vt:i4>68</vt:i4>
      </vt:variant>
      <vt:variant>
        <vt:i4>0</vt:i4>
      </vt:variant>
      <vt:variant>
        <vt:i4>5</vt:i4>
      </vt:variant>
      <vt:variant>
        <vt:lpwstr/>
      </vt:variant>
      <vt:variant>
        <vt:lpwstr>_Toc222647841</vt:lpwstr>
      </vt:variant>
      <vt:variant>
        <vt:i4>1048636</vt:i4>
      </vt:variant>
      <vt:variant>
        <vt:i4>62</vt:i4>
      </vt:variant>
      <vt:variant>
        <vt:i4>0</vt:i4>
      </vt:variant>
      <vt:variant>
        <vt:i4>5</vt:i4>
      </vt:variant>
      <vt:variant>
        <vt:lpwstr/>
      </vt:variant>
      <vt:variant>
        <vt:lpwstr>_Toc222647840</vt:lpwstr>
      </vt:variant>
      <vt:variant>
        <vt:i4>1507388</vt:i4>
      </vt:variant>
      <vt:variant>
        <vt:i4>56</vt:i4>
      </vt:variant>
      <vt:variant>
        <vt:i4>0</vt:i4>
      </vt:variant>
      <vt:variant>
        <vt:i4>5</vt:i4>
      </vt:variant>
      <vt:variant>
        <vt:lpwstr/>
      </vt:variant>
      <vt:variant>
        <vt:lpwstr>_Toc222647839</vt:lpwstr>
      </vt:variant>
      <vt:variant>
        <vt:i4>1507388</vt:i4>
      </vt:variant>
      <vt:variant>
        <vt:i4>50</vt:i4>
      </vt:variant>
      <vt:variant>
        <vt:i4>0</vt:i4>
      </vt:variant>
      <vt:variant>
        <vt:i4>5</vt:i4>
      </vt:variant>
      <vt:variant>
        <vt:lpwstr/>
      </vt:variant>
      <vt:variant>
        <vt:lpwstr>_Toc222647838</vt:lpwstr>
      </vt:variant>
      <vt:variant>
        <vt:i4>1507388</vt:i4>
      </vt:variant>
      <vt:variant>
        <vt:i4>44</vt:i4>
      </vt:variant>
      <vt:variant>
        <vt:i4>0</vt:i4>
      </vt:variant>
      <vt:variant>
        <vt:i4>5</vt:i4>
      </vt:variant>
      <vt:variant>
        <vt:lpwstr/>
      </vt:variant>
      <vt:variant>
        <vt:lpwstr>_Toc222647837</vt:lpwstr>
      </vt:variant>
      <vt:variant>
        <vt:i4>1507388</vt:i4>
      </vt:variant>
      <vt:variant>
        <vt:i4>38</vt:i4>
      </vt:variant>
      <vt:variant>
        <vt:i4>0</vt:i4>
      </vt:variant>
      <vt:variant>
        <vt:i4>5</vt:i4>
      </vt:variant>
      <vt:variant>
        <vt:lpwstr/>
      </vt:variant>
      <vt:variant>
        <vt:lpwstr>_Toc222647836</vt:lpwstr>
      </vt:variant>
      <vt:variant>
        <vt:i4>1507388</vt:i4>
      </vt:variant>
      <vt:variant>
        <vt:i4>32</vt:i4>
      </vt:variant>
      <vt:variant>
        <vt:i4>0</vt:i4>
      </vt:variant>
      <vt:variant>
        <vt:i4>5</vt:i4>
      </vt:variant>
      <vt:variant>
        <vt:lpwstr/>
      </vt:variant>
      <vt:variant>
        <vt:lpwstr>_Toc222647835</vt:lpwstr>
      </vt:variant>
      <vt:variant>
        <vt:i4>1507388</vt:i4>
      </vt:variant>
      <vt:variant>
        <vt:i4>26</vt:i4>
      </vt:variant>
      <vt:variant>
        <vt:i4>0</vt:i4>
      </vt:variant>
      <vt:variant>
        <vt:i4>5</vt:i4>
      </vt:variant>
      <vt:variant>
        <vt:lpwstr/>
      </vt:variant>
      <vt:variant>
        <vt:lpwstr>_Toc222647834</vt:lpwstr>
      </vt:variant>
      <vt:variant>
        <vt:i4>1507388</vt:i4>
      </vt:variant>
      <vt:variant>
        <vt:i4>20</vt:i4>
      </vt:variant>
      <vt:variant>
        <vt:i4>0</vt:i4>
      </vt:variant>
      <vt:variant>
        <vt:i4>5</vt:i4>
      </vt:variant>
      <vt:variant>
        <vt:lpwstr/>
      </vt:variant>
      <vt:variant>
        <vt:lpwstr>_Toc222647833</vt:lpwstr>
      </vt:variant>
      <vt:variant>
        <vt:i4>1507388</vt:i4>
      </vt:variant>
      <vt:variant>
        <vt:i4>14</vt:i4>
      </vt:variant>
      <vt:variant>
        <vt:i4>0</vt:i4>
      </vt:variant>
      <vt:variant>
        <vt:i4>5</vt:i4>
      </vt:variant>
      <vt:variant>
        <vt:lpwstr/>
      </vt:variant>
      <vt:variant>
        <vt:lpwstr>_Toc222647832</vt:lpwstr>
      </vt:variant>
      <vt:variant>
        <vt:i4>1507388</vt:i4>
      </vt:variant>
      <vt:variant>
        <vt:i4>8</vt:i4>
      </vt:variant>
      <vt:variant>
        <vt:i4>0</vt:i4>
      </vt:variant>
      <vt:variant>
        <vt:i4>5</vt:i4>
      </vt:variant>
      <vt:variant>
        <vt:lpwstr/>
      </vt:variant>
      <vt:variant>
        <vt:lpwstr>_Toc222647831</vt:lpwstr>
      </vt:variant>
      <vt:variant>
        <vt:i4>1507388</vt:i4>
      </vt:variant>
      <vt:variant>
        <vt:i4>2</vt:i4>
      </vt:variant>
      <vt:variant>
        <vt:i4>0</vt:i4>
      </vt:variant>
      <vt:variant>
        <vt:i4>5</vt:i4>
      </vt:variant>
      <vt:variant>
        <vt:lpwstr/>
      </vt:variant>
      <vt:variant>
        <vt:lpwstr>_Toc222647830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Beach Unit</dc:title>
  <dc:subject/>
  <dc:creator>Michael Land</dc:creator>
  <cp:keywords/>
  <dc:description/>
  <cp:lastModifiedBy>Alicia Sabry</cp:lastModifiedBy>
  <cp:revision>4</cp:revision>
  <cp:lastPrinted>2009-03-23T16:06:00Z</cp:lastPrinted>
  <dcterms:created xsi:type="dcterms:W3CDTF">2009-03-23T16:05:00Z</dcterms:created>
  <dcterms:modified xsi:type="dcterms:W3CDTF">2009-03-23T16:06:00Z</dcterms:modified>
</cp:coreProperties>
</file>