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13" w:rsidRDefault="00D86F13" w:rsidP="00E940FD">
      <w:pPr>
        <w:pStyle w:val="Title"/>
        <w:tabs>
          <w:tab w:val="clear" w:pos="4680"/>
          <w:tab w:val="clear" w:pos="7560"/>
        </w:tabs>
        <w:rPr>
          <w:rFonts w:cs="Arial"/>
        </w:rPr>
      </w:pPr>
      <w:r>
        <w:rPr>
          <w:rFonts w:cs="Arial"/>
        </w:rPr>
        <w:t>CALENDAR ITEM</w:t>
      </w:r>
    </w:p>
    <w:p w:rsidR="00D86F13" w:rsidRDefault="00D86F13" w:rsidP="00E940FD">
      <w:pPr>
        <w:pStyle w:val="Subtitle"/>
        <w:tabs>
          <w:tab w:val="clear" w:pos="-1440"/>
          <w:tab w:val="clear" w:pos="-720"/>
          <w:tab w:val="clear" w:pos="720"/>
          <w:tab w:val="clear" w:pos="1320"/>
          <w:tab w:val="clear" w:pos="4680"/>
          <w:tab w:val="clear" w:pos="7560"/>
        </w:tabs>
        <w:rPr>
          <w:rFonts w:cs="Arial"/>
          <w:szCs w:val="36"/>
        </w:rPr>
      </w:pPr>
      <w:r>
        <w:rPr>
          <w:rFonts w:cs="Arial"/>
          <w:szCs w:val="36"/>
        </w:rPr>
        <w:t>C</w:t>
      </w:r>
      <w:r w:rsidR="0068291A">
        <w:rPr>
          <w:rFonts w:cs="Arial"/>
          <w:szCs w:val="36"/>
        </w:rPr>
        <w:t>58</w:t>
      </w:r>
    </w:p>
    <w:p w:rsidR="00D86F13" w:rsidRDefault="00D86F13" w:rsidP="00E940FD">
      <w:pPr>
        <w:tabs>
          <w:tab w:val="right" w:pos="9360"/>
        </w:tabs>
        <w:rPr>
          <w:rFonts w:ascii="Arial" w:hAnsi="Arial" w:cs="Arial"/>
        </w:rPr>
      </w:pPr>
    </w:p>
    <w:p w:rsidR="00D86F13" w:rsidRDefault="00D86F13" w:rsidP="00E940FD">
      <w:pPr>
        <w:tabs>
          <w:tab w:val="right" w:pos="9360"/>
        </w:tabs>
        <w:rPr>
          <w:rFonts w:ascii="Arial" w:hAnsi="Arial" w:cs="Arial"/>
        </w:rPr>
        <w:sectPr w:rsidR="00D86F13">
          <w:footerReference w:type="default" r:id="rId8"/>
          <w:endnotePr>
            <w:numFmt w:val="decimal"/>
          </w:endnotePr>
          <w:pgSz w:w="12240" w:h="15840" w:code="1"/>
          <w:pgMar w:top="2160" w:right="1440" w:bottom="2160" w:left="1440" w:header="1440" w:footer="720" w:gutter="0"/>
          <w:cols w:space="720"/>
          <w:noEndnote/>
        </w:sectPr>
      </w:pPr>
    </w:p>
    <w:p w:rsidR="00D86F13" w:rsidRDefault="009C4602" w:rsidP="00E940FD">
      <w:pPr>
        <w:tabs>
          <w:tab w:val="right" w:pos="9360"/>
        </w:tabs>
        <w:rPr>
          <w:rFonts w:ascii="Arial" w:hAnsi="Arial" w:cs="Arial"/>
        </w:rPr>
      </w:pPr>
      <w:r>
        <w:rPr>
          <w:rFonts w:ascii="Arial" w:hAnsi="Arial" w:cs="Arial"/>
        </w:rPr>
        <w:lastRenderedPageBreak/>
        <w:t>A  15</w:t>
      </w:r>
      <w:r>
        <w:rPr>
          <w:rFonts w:ascii="Arial" w:hAnsi="Arial" w:cs="Arial"/>
        </w:rPr>
        <w:tab/>
        <w:t>06</w:t>
      </w:r>
      <w:r w:rsidR="00D86F13">
        <w:rPr>
          <w:rFonts w:ascii="Arial" w:hAnsi="Arial" w:cs="Arial"/>
        </w:rPr>
        <w:t>/</w:t>
      </w:r>
      <w:r>
        <w:rPr>
          <w:rFonts w:ascii="Arial" w:hAnsi="Arial" w:cs="Arial"/>
        </w:rPr>
        <w:t>01</w:t>
      </w:r>
      <w:r w:rsidR="00D86F13">
        <w:rPr>
          <w:rFonts w:ascii="Arial" w:hAnsi="Arial" w:cs="Arial"/>
        </w:rPr>
        <w:t>/09</w:t>
      </w:r>
    </w:p>
    <w:p w:rsidR="00D86F13" w:rsidRDefault="00D86F13" w:rsidP="00E940FD">
      <w:pPr>
        <w:tabs>
          <w:tab w:val="right" w:pos="9360"/>
        </w:tabs>
        <w:rPr>
          <w:rFonts w:ascii="Arial" w:hAnsi="Arial" w:cs="Arial"/>
        </w:rPr>
      </w:pPr>
      <w:r>
        <w:rPr>
          <w:rFonts w:ascii="Arial" w:hAnsi="Arial" w:cs="Arial"/>
        </w:rPr>
        <w:tab/>
        <w:t>PRC 2839.1</w:t>
      </w:r>
    </w:p>
    <w:p w:rsidR="00D86F13" w:rsidRDefault="00D86F13" w:rsidP="00E940FD">
      <w:pPr>
        <w:tabs>
          <w:tab w:val="right" w:pos="9360"/>
        </w:tabs>
        <w:jc w:val="right"/>
        <w:rPr>
          <w:rFonts w:ascii="Arial" w:hAnsi="Arial" w:cs="Arial"/>
        </w:rPr>
      </w:pPr>
      <w:r>
        <w:rPr>
          <w:rFonts w:ascii="Arial" w:hAnsi="Arial" w:cs="Arial"/>
        </w:rPr>
        <w:t>E 412.1</w:t>
      </w:r>
    </w:p>
    <w:p w:rsidR="00D86F13" w:rsidRDefault="00D86F13" w:rsidP="00E940FD">
      <w:pPr>
        <w:tabs>
          <w:tab w:val="right" w:pos="9360"/>
        </w:tabs>
        <w:rPr>
          <w:rFonts w:ascii="Arial" w:hAnsi="Arial" w:cs="Arial"/>
        </w:rPr>
      </w:pPr>
      <w:r>
        <w:rPr>
          <w:rFonts w:ascii="Arial" w:hAnsi="Arial" w:cs="Arial"/>
        </w:rPr>
        <w:t>S  5</w:t>
      </w:r>
      <w:r>
        <w:rPr>
          <w:rFonts w:ascii="Arial" w:hAnsi="Arial" w:cs="Arial"/>
        </w:rPr>
        <w:tab/>
        <w:t xml:space="preserve">M. </w:t>
      </w:r>
      <w:smartTag w:uri="urn:schemas-microsoft-com:office:smarttags" w:element="place">
        <w:smartTag w:uri="urn:schemas-microsoft-com:office:smarttags" w:element="City">
          <w:r>
            <w:rPr>
              <w:rFonts w:ascii="Arial" w:hAnsi="Arial" w:cs="Arial"/>
            </w:rPr>
            <w:t>Hamilton</w:t>
          </w:r>
        </w:smartTag>
      </w:smartTag>
    </w:p>
    <w:p w:rsidR="00D86F13" w:rsidRDefault="00D86F13" w:rsidP="00E940FD">
      <w:pPr>
        <w:rPr>
          <w:rFonts w:ascii="Arial" w:hAnsi="Arial" w:cs="Arial"/>
        </w:rPr>
      </w:pPr>
    </w:p>
    <w:p w:rsidR="00E940FD" w:rsidRDefault="00D86F13" w:rsidP="00E940FD">
      <w:pPr>
        <w:jc w:val="center"/>
        <w:rPr>
          <w:rFonts w:ascii="Arial" w:hAnsi="Arial" w:cs="Arial"/>
          <w:b/>
        </w:rPr>
      </w:pPr>
      <w:r>
        <w:rPr>
          <w:rFonts w:ascii="Arial" w:hAnsi="Arial" w:cs="Arial"/>
          <w:b/>
        </w:rPr>
        <w:t xml:space="preserve">CONSIDER </w:t>
      </w:r>
      <w:r w:rsidR="00AF7CC9">
        <w:rPr>
          <w:rFonts w:ascii="Arial" w:hAnsi="Arial" w:cs="Arial"/>
          <w:b/>
        </w:rPr>
        <w:t xml:space="preserve">QUITCLAIM </w:t>
      </w:r>
      <w:r>
        <w:rPr>
          <w:rFonts w:ascii="Arial" w:hAnsi="Arial" w:cs="Arial"/>
          <w:b/>
        </w:rPr>
        <w:t>OF</w:t>
      </w:r>
      <w:r w:rsidR="00487455">
        <w:rPr>
          <w:rFonts w:ascii="Arial" w:hAnsi="Arial" w:cs="Arial"/>
          <w:b/>
        </w:rPr>
        <w:t xml:space="preserve"> </w:t>
      </w:r>
    </w:p>
    <w:p w:rsidR="00E940FD" w:rsidRDefault="00AF7CC9" w:rsidP="00E940FD">
      <w:pPr>
        <w:jc w:val="center"/>
        <w:rPr>
          <w:rFonts w:ascii="Arial" w:hAnsi="Arial" w:cs="Arial"/>
          <w:b/>
        </w:rPr>
      </w:pPr>
      <w:r>
        <w:rPr>
          <w:rFonts w:ascii="Arial" w:hAnsi="Arial" w:cs="Arial"/>
          <w:b/>
        </w:rPr>
        <w:t>COMPENSATORY AGREEMENT</w:t>
      </w:r>
      <w:r w:rsidR="0066594E">
        <w:rPr>
          <w:rFonts w:ascii="Arial" w:hAnsi="Arial" w:cs="Arial"/>
          <w:b/>
        </w:rPr>
        <w:t xml:space="preserve"> </w:t>
      </w:r>
      <w:r>
        <w:rPr>
          <w:rFonts w:ascii="Arial" w:hAnsi="Arial" w:cs="Arial"/>
          <w:b/>
        </w:rPr>
        <w:t>EASEMENT 412.1</w:t>
      </w:r>
      <w:r w:rsidR="00D21988">
        <w:rPr>
          <w:rFonts w:ascii="Arial" w:hAnsi="Arial" w:cs="Arial"/>
          <w:b/>
        </w:rPr>
        <w:t>,</w:t>
      </w:r>
    </w:p>
    <w:p w:rsidR="0066594E" w:rsidRDefault="009C4602" w:rsidP="00E940FD">
      <w:pPr>
        <w:jc w:val="center"/>
        <w:rPr>
          <w:rFonts w:ascii="Arial" w:hAnsi="Arial" w:cs="Arial"/>
          <w:b/>
        </w:rPr>
      </w:pPr>
      <w:r>
        <w:rPr>
          <w:rFonts w:ascii="Arial" w:hAnsi="Arial" w:cs="Arial"/>
          <w:b/>
        </w:rPr>
        <w:t>MCDONALD ISLAND GAS FIELD</w:t>
      </w:r>
      <w:r w:rsidR="00487455">
        <w:rPr>
          <w:rFonts w:ascii="Arial" w:hAnsi="Arial" w:cs="Arial"/>
          <w:b/>
        </w:rPr>
        <w:t xml:space="preserve"> AREA</w:t>
      </w:r>
      <w:r>
        <w:rPr>
          <w:rFonts w:ascii="Arial" w:hAnsi="Arial" w:cs="Arial"/>
          <w:b/>
        </w:rPr>
        <w:t>,</w:t>
      </w:r>
    </w:p>
    <w:p w:rsidR="00D86F13" w:rsidRDefault="00487455" w:rsidP="00E940FD">
      <w:pPr>
        <w:jc w:val="center"/>
        <w:rPr>
          <w:rFonts w:ascii="Arial" w:hAnsi="Arial" w:cs="Arial"/>
          <w:b/>
        </w:rPr>
      </w:pPr>
      <w:r>
        <w:rPr>
          <w:rFonts w:ascii="Arial" w:hAnsi="Arial" w:cs="Arial"/>
          <w:b/>
        </w:rPr>
        <w:t>S</w:t>
      </w:r>
      <w:r w:rsidR="00D86F13">
        <w:rPr>
          <w:rFonts w:ascii="Arial" w:hAnsi="Arial" w:cs="Arial"/>
          <w:b/>
        </w:rPr>
        <w:t>AN JOAQUIN</w:t>
      </w:r>
      <w:r>
        <w:rPr>
          <w:rFonts w:ascii="Arial" w:hAnsi="Arial" w:cs="Arial"/>
          <w:b/>
        </w:rPr>
        <w:t xml:space="preserve"> COUNTY</w:t>
      </w:r>
    </w:p>
    <w:p w:rsidR="00D86F13" w:rsidRDefault="00D86F13" w:rsidP="00E940FD">
      <w:pPr>
        <w:rPr>
          <w:rFonts w:ascii="Arial" w:hAnsi="Arial" w:cs="Arial"/>
        </w:rPr>
      </w:pPr>
    </w:p>
    <w:p w:rsidR="00D86F13" w:rsidRDefault="00D86F13" w:rsidP="00E940FD">
      <w:pPr>
        <w:rPr>
          <w:rFonts w:ascii="Arial" w:hAnsi="Arial" w:cs="Arial"/>
          <w:b/>
        </w:rPr>
      </w:pPr>
      <w:r>
        <w:rPr>
          <w:rFonts w:ascii="Arial" w:hAnsi="Arial" w:cs="Arial"/>
          <w:b/>
        </w:rPr>
        <w:t>OPERATOR:</w:t>
      </w:r>
    </w:p>
    <w:p w:rsidR="00D86F13" w:rsidRDefault="00D86F13" w:rsidP="00E940FD">
      <w:pPr>
        <w:tabs>
          <w:tab w:val="left" w:pos="720"/>
        </w:tabs>
        <w:rPr>
          <w:rFonts w:ascii="Arial" w:hAnsi="Arial" w:cs="Arial"/>
        </w:rPr>
      </w:pPr>
      <w:r>
        <w:rPr>
          <w:rFonts w:ascii="Arial" w:hAnsi="Arial" w:cs="Arial"/>
        </w:rPr>
        <w:tab/>
        <w:t>Pacific Gas and Electric Company</w:t>
      </w:r>
    </w:p>
    <w:p w:rsidR="009C4602" w:rsidRDefault="00D86F13" w:rsidP="00E940FD">
      <w:pPr>
        <w:tabs>
          <w:tab w:val="left" w:pos="720"/>
        </w:tabs>
        <w:rPr>
          <w:rFonts w:ascii="Arial" w:hAnsi="Arial" w:cs="Arial"/>
        </w:rPr>
      </w:pPr>
      <w:r>
        <w:rPr>
          <w:rFonts w:ascii="Arial" w:hAnsi="Arial" w:cs="Arial"/>
        </w:rPr>
        <w:tab/>
      </w:r>
      <w:r w:rsidR="009C4602">
        <w:rPr>
          <w:rFonts w:ascii="Arial" w:hAnsi="Arial" w:cs="Arial"/>
        </w:rPr>
        <w:t>Technical &amp; Land Services</w:t>
      </w:r>
    </w:p>
    <w:p w:rsidR="00D86F13" w:rsidRDefault="009C4602" w:rsidP="00E940FD">
      <w:pPr>
        <w:tabs>
          <w:tab w:val="left" w:pos="720"/>
        </w:tabs>
        <w:rPr>
          <w:rFonts w:ascii="Arial" w:hAnsi="Arial" w:cs="Arial"/>
        </w:rPr>
      </w:pPr>
      <w:r>
        <w:rPr>
          <w:rFonts w:ascii="Arial" w:hAnsi="Arial" w:cs="Arial"/>
        </w:rPr>
        <w:tab/>
      </w:r>
      <w:r w:rsidR="00D86F13">
        <w:rPr>
          <w:rFonts w:ascii="Arial" w:hAnsi="Arial" w:cs="Arial"/>
        </w:rPr>
        <w:t xml:space="preserve">Attn.: Mr. </w:t>
      </w:r>
      <w:r>
        <w:rPr>
          <w:rFonts w:ascii="Arial" w:hAnsi="Arial" w:cs="Arial"/>
        </w:rPr>
        <w:t>Bob Jones</w:t>
      </w:r>
    </w:p>
    <w:p w:rsidR="00D86F13" w:rsidRDefault="00D86F13" w:rsidP="00E940FD">
      <w:pPr>
        <w:tabs>
          <w:tab w:val="left" w:pos="720"/>
        </w:tabs>
        <w:rPr>
          <w:rFonts w:ascii="Arial" w:hAnsi="Arial" w:cs="Arial"/>
        </w:rPr>
      </w:pPr>
      <w:r>
        <w:rPr>
          <w:rFonts w:ascii="Arial" w:hAnsi="Arial" w:cs="Arial"/>
        </w:rPr>
        <w:tab/>
      </w:r>
      <w:r w:rsidR="009C4602">
        <w:rPr>
          <w:rFonts w:ascii="Arial" w:hAnsi="Arial" w:cs="Arial"/>
        </w:rPr>
        <w:t>P.O. B</w:t>
      </w:r>
      <w:r>
        <w:rPr>
          <w:rFonts w:ascii="Arial" w:hAnsi="Arial" w:cs="Arial"/>
        </w:rPr>
        <w:t>o</w:t>
      </w:r>
      <w:r w:rsidR="009C4602">
        <w:rPr>
          <w:rFonts w:ascii="Arial" w:hAnsi="Arial" w:cs="Arial"/>
        </w:rPr>
        <w:t>x 930</w:t>
      </w:r>
    </w:p>
    <w:p w:rsidR="00D86F13" w:rsidRDefault="00D86F13" w:rsidP="00E940FD">
      <w:pPr>
        <w:tabs>
          <w:tab w:val="left" w:pos="720"/>
        </w:tabs>
        <w:rPr>
          <w:rFonts w:ascii="Arial" w:hAnsi="Arial" w:cs="Arial"/>
        </w:rPr>
      </w:pPr>
      <w:r>
        <w:rPr>
          <w:rFonts w:ascii="Arial" w:hAnsi="Arial" w:cs="Arial"/>
        </w:rPr>
        <w:tab/>
        <w:t>S</w:t>
      </w:r>
      <w:r w:rsidR="009C4602">
        <w:rPr>
          <w:rFonts w:ascii="Arial" w:hAnsi="Arial" w:cs="Arial"/>
        </w:rPr>
        <w:t>tockton</w:t>
      </w:r>
      <w:r w:rsidR="00DC4BD4">
        <w:rPr>
          <w:rFonts w:ascii="Arial" w:hAnsi="Arial" w:cs="Arial"/>
        </w:rPr>
        <w:t>,</w:t>
      </w:r>
      <w:r>
        <w:rPr>
          <w:rFonts w:ascii="Arial" w:hAnsi="Arial" w:cs="Arial"/>
        </w:rPr>
        <w:t xml:space="preserve"> CA 95</w:t>
      </w:r>
      <w:r w:rsidR="009C4602">
        <w:rPr>
          <w:rFonts w:ascii="Arial" w:hAnsi="Arial" w:cs="Arial"/>
        </w:rPr>
        <w:t>201</w:t>
      </w:r>
    </w:p>
    <w:p w:rsidR="00D86F13" w:rsidRDefault="00D86F13" w:rsidP="00E940FD">
      <w:pPr>
        <w:tabs>
          <w:tab w:val="left" w:pos="720"/>
        </w:tabs>
        <w:rPr>
          <w:rFonts w:ascii="Arial" w:hAnsi="Arial" w:cs="Arial"/>
          <w:b/>
        </w:rPr>
      </w:pPr>
    </w:p>
    <w:p w:rsidR="00D86F13" w:rsidRDefault="00D86F13" w:rsidP="00E940FD">
      <w:pPr>
        <w:tabs>
          <w:tab w:val="left" w:pos="720"/>
        </w:tabs>
        <w:rPr>
          <w:rFonts w:ascii="Arial" w:hAnsi="Arial" w:cs="Arial"/>
          <w:b/>
        </w:rPr>
      </w:pPr>
      <w:r>
        <w:rPr>
          <w:rFonts w:ascii="Arial" w:hAnsi="Arial" w:cs="Arial"/>
          <w:b/>
        </w:rPr>
        <w:t>SUMMARY:</w:t>
      </w:r>
    </w:p>
    <w:p w:rsidR="00D86F13" w:rsidRDefault="00D86F13" w:rsidP="00E940FD">
      <w:pPr>
        <w:ind w:left="720"/>
        <w:rPr>
          <w:rFonts w:ascii="Arial" w:hAnsi="Arial" w:cs="Arial"/>
          <w:szCs w:val="24"/>
        </w:rPr>
      </w:pPr>
      <w:r>
        <w:rPr>
          <w:rFonts w:ascii="Arial" w:hAnsi="Arial" w:cs="Arial"/>
          <w:szCs w:val="24"/>
        </w:rPr>
        <w:t xml:space="preserve">McDonald Island is located about ten miles west of the City of Stockton in San Joaquin County.  In the 1930s, the McDonald Island Gas Field was discovered by Standard Oil </w:t>
      </w:r>
      <w:r w:rsidR="00054451">
        <w:rPr>
          <w:rFonts w:ascii="Arial" w:hAnsi="Arial" w:cs="Arial"/>
          <w:szCs w:val="24"/>
        </w:rPr>
        <w:t xml:space="preserve">Company </w:t>
      </w:r>
      <w:r>
        <w:rPr>
          <w:rFonts w:ascii="Arial" w:hAnsi="Arial" w:cs="Arial"/>
          <w:szCs w:val="24"/>
        </w:rPr>
        <w:t xml:space="preserve">of California.  On March 1, 1940, the </w:t>
      </w:r>
      <w:r w:rsidR="0066594E">
        <w:rPr>
          <w:rFonts w:ascii="Arial" w:hAnsi="Arial" w:cs="Arial"/>
          <w:szCs w:val="24"/>
        </w:rPr>
        <w:t xml:space="preserve">California State Lands </w:t>
      </w:r>
      <w:r>
        <w:rPr>
          <w:rFonts w:ascii="Arial" w:hAnsi="Arial" w:cs="Arial"/>
          <w:szCs w:val="24"/>
        </w:rPr>
        <w:t xml:space="preserve">Commission </w:t>
      </w:r>
      <w:r w:rsidR="0066594E">
        <w:rPr>
          <w:rFonts w:ascii="Arial" w:hAnsi="Arial" w:cs="Arial"/>
          <w:szCs w:val="24"/>
        </w:rPr>
        <w:t xml:space="preserve">(Commission) </w:t>
      </w:r>
      <w:r>
        <w:rPr>
          <w:rFonts w:ascii="Arial" w:hAnsi="Arial" w:cs="Arial"/>
          <w:szCs w:val="24"/>
        </w:rPr>
        <w:t>entered into Compensatory Agreement Easement 412.1 with Standard Oil Company of California for the payment of royalty on natural gas removed (drained) from beneath sovereign State lands (a portion of Whiskey Slough) located on McDonald Island.  Compensatory Agreement Easement 412.1 only allow</w:t>
      </w:r>
      <w:r w:rsidR="00DD6AF6">
        <w:rPr>
          <w:rFonts w:ascii="Arial" w:hAnsi="Arial" w:cs="Arial"/>
          <w:szCs w:val="24"/>
        </w:rPr>
        <w:t>ed</w:t>
      </w:r>
      <w:r>
        <w:rPr>
          <w:rFonts w:ascii="Arial" w:hAnsi="Arial" w:cs="Arial"/>
          <w:szCs w:val="24"/>
        </w:rPr>
        <w:t xml:space="preserve"> for the payment of royalty on the State’s share of native gas withdrawn from the McDonald Island Gas Field.  It does not allow for any use of the State lands (surface or subsurface), nor does it allow fo</w:t>
      </w:r>
      <w:r w:rsidR="00DD6AF6">
        <w:rPr>
          <w:rFonts w:ascii="Arial" w:hAnsi="Arial" w:cs="Arial"/>
          <w:szCs w:val="24"/>
        </w:rPr>
        <w:t>r any mineral development of</w:t>
      </w:r>
      <w:r w:rsidR="00E940FD">
        <w:rPr>
          <w:rFonts w:ascii="Arial" w:hAnsi="Arial" w:cs="Arial"/>
          <w:szCs w:val="24"/>
        </w:rPr>
        <w:t>,</w:t>
      </w:r>
      <w:r w:rsidR="00DD6AF6">
        <w:rPr>
          <w:rFonts w:ascii="Arial" w:hAnsi="Arial" w:cs="Arial"/>
          <w:szCs w:val="24"/>
        </w:rPr>
        <w:t xml:space="preserve"> or </w:t>
      </w:r>
      <w:r>
        <w:rPr>
          <w:rFonts w:ascii="Arial" w:hAnsi="Arial" w:cs="Arial"/>
          <w:szCs w:val="24"/>
        </w:rPr>
        <w:t>entitlement to</w:t>
      </w:r>
      <w:r w:rsidR="00E940FD">
        <w:rPr>
          <w:rFonts w:ascii="Arial" w:hAnsi="Arial" w:cs="Arial"/>
          <w:szCs w:val="24"/>
        </w:rPr>
        <w:t>,</w:t>
      </w:r>
      <w:r>
        <w:rPr>
          <w:rFonts w:ascii="Arial" w:hAnsi="Arial" w:cs="Arial"/>
          <w:szCs w:val="24"/>
        </w:rPr>
        <w:t xml:space="preserve"> the State lands.</w:t>
      </w:r>
    </w:p>
    <w:p w:rsidR="00B527B2" w:rsidRDefault="00B527B2" w:rsidP="00E940FD">
      <w:pPr>
        <w:ind w:left="720"/>
        <w:rPr>
          <w:rFonts w:ascii="Arial" w:hAnsi="Arial" w:cs="Arial"/>
          <w:szCs w:val="24"/>
        </w:rPr>
      </w:pPr>
    </w:p>
    <w:p w:rsidR="00455903" w:rsidRDefault="00455903" w:rsidP="00E940FD">
      <w:pPr>
        <w:ind w:left="720"/>
        <w:rPr>
          <w:rFonts w:ascii="Arial" w:hAnsi="Arial" w:cs="Arial"/>
          <w:szCs w:val="24"/>
        </w:rPr>
      </w:pPr>
      <w:r>
        <w:rPr>
          <w:rFonts w:ascii="Arial" w:hAnsi="Arial" w:cs="Arial"/>
          <w:szCs w:val="24"/>
        </w:rPr>
        <w:t xml:space="preserve">In March 1958, after producing over 150 billion cubic feet of natural gas, the reservoir pressure of the McDonald Island Gas Field declined to a point where wells no longer could be produced without compression.  Consequently, the McDonald Island Gas Field was shut-in and no more native gas was produced.  In April 1958, </w:t>
      </w:r>
      <w:r w:rsidR="00C9411A">
        <w:rPr>
          <w:rFonts w:ascii="Arial" w:hAnsi="Arial" w:cs="Arial"/>
          <w:szCs w:val="24"/>
        </w:rPr>
        <w:t>Pacific Gas and Electric Company (</w:t>
      </w:r>
      <w:r>
        <w:rPr>
          <w:rFonts w:ascii="Arial" w:hAnsi="Arial" w:cs="Arial"/>
          <w:szCs w:val="24"/>
        </w:rPr>
        <w:t>PG&amp;E</w:t>
      </w:r>
      <w:r w:rsidR="00C9411A">
        <w:rPr>
          <w:rFonts w:ascii="Arial" w:hAnsi="Arial" w:cs="Arial"/>
          <w:szCs w:val="24"/>
        </w:rPr>
        <w:t>)</w:t>
      </w:r>
      <w:r>
        <w:rPr>
          <w:rFonts w:ascii="Arial" w:hAnsi="Arial" w:cs="Arial"/>
          <w:szCs w:val="24"/>
        </w:rPr>
        <w:t xml:space="preserve"> began injecting natural gas into the McDonald Island Sand (Eocene series gas sand located within the McDonald Island Gas Field) to test its capability as an underground gas storage reservoir.  After determining that the partially depleted formation could be used to </w:t>
      </w:r>
      <w:r>
        <w:rPr>
          <w:rFonts w:ascii="Arial" w:hAnsi="Arial" w:cs="Arial"/>
          <w:szCs w:val="24"/>
        </w:rPr>
        <w:lastRenderedPageBreak/>
        <w:t xml:space="preserve">store gas, PG&amp;E proceeded to acquire all of the properties in the McDonald Island Gas Field and acquired </w:t>
      </w:r>
      <w:r>
        <w:rPr>
          <w:rFonts w:ascii="Arial" w:hAnsi="Arial" w:cs="Arial"/>
        </w:rPr>
        <w:t>Compensatory Agreement Easement 412.1</w:t>
      </w:r>
      <w:r>
        <w:rPr>
          <w:rFonts w:ascii="Arial" w:hAnsi="Arial" w:cs="Arial"/>
          <w:szCs w:val="24"/>
        </w:rPr>
        <w:t xml:space="preserve"> through an assignment approved by the Commission on March 17, 1960.</w:t>
      </w:r>
    </w:p>
    <w:p w:rsidR="00455903" w:rsidRDefault="00455903" w:rsidP="00E940FD">
      <w:pPr>
        <w:ind w:left="720"/>
        <w:rPr>
          <w:rFonts w:ascii="Arial" w:hAnsi="Arial" w:cs="Arial"/>
          <w:szCs w:val="24"/>
        </w:rPr>
      </w:pPr>
    </w:p>
    <w:p w:rsidR="00455903" w:rsidRDefault="00455903" w:rsidP="00E940FD">
      <w:pPr>
        <w:ind w:left="720"/>
        <w:rPr>
          <w:rFonts w:ascii="Arial" w:hAnsi="Arial" w:cs="Arial"/>
        </w:rPr>
      </w:pPr>
      <w:r>
        <w:rPr>
          <w:rFonts w:ascii="Arial" w:hAnsi="Arial" w:cs="Arial"/>
        </w:rPr>
        <w:t xml:space="preserve">Because Compensatory Agreement Easement 412.1 only allowed for the payment of royalty on </w:t>
      </w:r>
      <w:r w:rsidR="00C71710">
        <w:rPr>
          <w:rFonts w:ascii="Arial" w:hAnsi="Arial" w:cs="Arial"/>
        </w:rPr>
        <w:t xml:space="preserve">produced </w:t>
      </w:r>
      <w:r>
        <w:rPr>
          <w:rFonts w:ascii="Arial" w:hAnsi="Arial" w:cs="Arial"/>
        </w:rPr>
        <w:t xml:space="preserve">native gas and does not allow for any use of State lands, the Commission and PG&amp;E entered into Gas Storage Lease PRC 2839.1 McDonald Island Gas Field on January 25, 1962.  The purpose of the lease was to allow PG&amp;E to store gas in and withdraw gas from the State’s share (pore space) of the underground reservoir or McDonald Island Sand.  </w:t>
      </w:r>
      <w:r w:rsidR="00C71710">
        <w:rPr>
          <w:rFonts w:ascii="Arial" w:hAnsi="Arial" w:cs="Arial"/>
        </w:rPr>
        <w:t>The l</w:t>
      </w:r>
      <w:r>
        <w:rPr>
          <w:rFonts w:ascii="Arial" w:hAnsi="Arial" w:cs="Arial"/>
        </w:rPr>
        <w:t>ease</w:t>
      </w:r>
      <w:r w:rsidR="00C71710">
        <w:rPr>
          <w:rFonts w:ascii="Arial" w:hAnsi="Arial" w:cs="Arial"/>
        </w:rPr>
        <w:t xml:space="preserve"> </w:t>
      </w:r>
      <w:r>
        <w:rPr>
          <w:rFonts w:ascii="Arial" w:hAnsi="Arial" w:cs="Arial"/>
        </w:rPr>
        <w:t>also required PG&amp;E to pay the State the sum of $127,420.74 as full compensation for all in-place native gas and required the continuation of Compensatory Agreement Easement 412.1.</w:t>
      </w:r>
    </w:p>
    <w:p w:rsidR="00455903" w:rsidRDefault="00455903" w:rsidP="00E940FD">
      <w:pPr>
        <w:pStyle w:val="BodyTextIndent2"/>
        <w:tabs>
          <w:tab w:val="clear" w:pos="-504"/>
          <w:tab w:val="clear" w:pos="720"/>
          <w:tab w:val="clear" w:pos="1440"/>
          <w:tab w:val="clear" w:pos="1890"/>
          <w:tab w:val="clear" w:pos="4320"/>
          <w:tab w:val="clear" w:pos="7560"/>
        </w:tabs>
        <w:ind w:left="720" w:firstLine="0"/>
        <w:rPr>
          <w:rFonts w:cs="Arial"/>
          <w:szCs w:val="24"/>
        </w:rPr>
      </w:pPr>
    </w:p>
    <w:p w:rsidR="00455903" w:rsidRDefault="00455903" w:rsidP="00E940FD">
      <w:pPr>
        <w:ind w:left="720"/>
        <w:rPr>
          <w:rFonts w:ascii="Arial" w:hAnsi="Arial" w:cs="Arial"/>
          <w:szCs w:val="24"/>
        </w:rPr>
      </w:pPr>
      <w:r>
        <w:rPr>
          <w:rFonts w:ascii="Arial" w:hAnsi="Arial" w:cs="Arial"/>
        </w:rPr>
        <w:t xml:space="preserve">On January 29, 2009, the Commission issued Replacement Lease for Gas Storage Lease PRC 2839.1, McDonald Island Gas Field, San Joaquin County, to replace the expiring Gas Storage Lease PRC 2839.1.  Paragraph 14 of the Replacement Lease requires PG&amp;E to provide within sixty days after full execution of the Replacement Lease, a quitclaim of all of its rights in Compensatory Agreement Easement 412.1 issued March 1, 1940, as amended by agreement effective June 1, 1950.  The acceptance of this quitclaim by the Commission shall constitute a termination of Compensatory Agreement Easement 412.1 pursuant to paragraph 15 of that Agreement.  </w:t>
      </w:r>
    </w:p>
    <w:p w:rsidR="00455903" w:rsidRDefault="00455903" w:rsidP="00E940FD">
      <w:pPr>
        <w:rPr>
          <w:rFonts w:ascii="Arial" w:hAnsi="Arial" w:cs="Arial"/>
          <w:szCs w:val="24"/>
        </w:rPr>
      </w:pPr>
    </w:p>
    <w:p w:rsidR="00A125F7" w:rsidRPr="00A125F7" w:rsidRDefault="00A125F7" w:rsidP="00E940FD">
      <w:pPr>
        <w:rPr>
          <w:rFonts w:ascii="Arial" w:hAnsi="Arial"/>
          <w:b/>
        </w:rPr>
      </w:pPr>
      <w:r w:rsidRPr="00A125F7">
        <w:rPr>
          <w:rFonts w:ascii="Arial" w:hAnsi="Arial"/>
          <w:b/>
        </w:rPr>
        <w:t>STATUTORY AND OTHER REFERENCES:</w:t>
      </w:r>
    </w:p>
    <w:p w:rsidR="00455903" w:rsidRDefault="00A125F7" w:rsidP="00E940FD">
      <w:pPr>
        <w:numPr>
          <w:ilvl w:val="0"/>
          <w:numId w:val="9"/>
        </w:numPr>
        <w:rPr>
          <w:rFonts w:ascii="Arial" w:hAnsi="Arial" w:cs="Arial"/>
        </w:rPr>
      </w:pPr>
      <w:r>
        <w:rPr>
          <w:rFonts w:ascii="Arial" w:hAnsi="Arial" w:cs="Arial"/>
        </w:rPr>
        <w:t>Public Resources Code section 6815.</w:t>
      </w:r>
    </w:p>
    <w:p w:rsidR="00A125F7" w:rsidRDefault="00A125F7" w:rsidP="00E940FD">
      <w:pPr>
        <w:numPr>
          <w:ilvl w:val="0"/>
          <w:numId w:val="9"/>
        </w:numPr>
        <w:rPr>
          <w:rFonts w:ascii="Arial" w:hAnsi="Arial" w:cs="Arial"/>
        </w:rPr>
      </w:pPr>
      <w:r>
        <w:rPr>
          <w:rFonts w:ascii="Arial" w:hAnsi="Arial" w:cs="Arial"/>
        </w:rPr>
        <w:t>Compensatory Agreement Easement 412.1 paragraph 15.</w:t>
      </w:r>
    </w:p>
    <w:p w:rsidR="00A125F7" w:rsidRDefault="00A125F7" w:rsidP="00E940FD">
      <w:pPr>
        <w:numPr>
          <w:ilvl w:val="0"/>
          <w:numId w:val="9"/>
        </w:numPr>
        <w:rPr>
          <w:rFonts w:ascii="Arial" w:hAnsi="Arial" w:cs="Arial"/>
        </w:rPr>
      </w:pPr>
      <w:r>
        <w:rPr>
          <w:rFonts w:ascii="Arial" w:hAnsi="Arial" w:cs="Arial"/>
        </w:rPr>
        <w:t>Replacement Lease for Gas Storage Lease PRC 2839.1 paragraph 14.</w:t>
      </w:r>
    </w:p>
    <w:p w:rsidR="00A125F7" w:rsidRDefault="00A125F7" w:rsidP="00E940FD">
      <w:pPr>
        <w:ind w:left="720"/>
        <w:rPr>
          <w:rFonts w:ascii="Arial" w:hAnsi="Arial" w:cs="Arial"/>
        </w:rPr>
      </w:pPr>
    </w:p>
    <w:p w:rsidR="0026552C" w:rsidRDefault="0026552C" w:rsidP="00E940FD">
      <w:pPr>
        <w:rPr>
          <w:rFonts w:ascii="Arial" w:hAnsi="Arial" w:cs="Arial"/>
          <w:b/>
        </w:rPr>
      </w:pPr>
      <w:r>
        <w:rPr>
          <w:rFonts w:ascii="Arial" w:hAnsi="Arial" w:cs="Arial"/>
          <w:b/>
        </w:rPr>
        <w:t>OTHER PERTINENT INFORMATION</w:t>
      </w:r>
    </w:p>
    <w:p w:rsidR="0026552C" w:rsidRDefault="00E20BCF" w:rsidP="00E940FD">
      <w:pPr>
        <w:ind w:left="1440" w:hanging="720"/>
        <w:rPr>
          <w:rFonts w:ascii="Arial" w:hAnsi="Arial"/>
        </w:rPr>
      </w:pPr>
      <w:r>
        <w:rPr>
          <w:rFonts w:ascii="Arial" w:hAnsi="Arial"/>
        </w:rPr>
        <w:t>1.</w:t>
      </w:r>
      <w:r>
        <w:rPr>
          <w:rFonts w:ascii="Arial" w:hAnsi="Arial"/>
        </w:rPr>
        <w:tab/>
      </w:r>
      <w:r w:rsidR="0026552C">
        <w:rPr>
          <w:rFonts w:ascii="Arial" w:hAnsi="Arial"/>
        </w:rPr>
        <w:t xml:space="preserve">On </w:t>
      </w:r>
      <w:r w:rsidR="00DD6AF6">
        <w:rPr>
          <w:rFonts w:ascii="Arial" w:hAnsi="Arial"/>
        </w:rPr>
        <w:t>April 8</w:t>
      </w:r>
      <w:r w:rsidR="0026552C">
        <w:rPr>
          <w:rFonts w:ascii="Arial" w:hAnsi="Arial"/>
        </w:rPr>
        <w:t>, 2009, the document entitled “Quitclaim of Compensatory Agreement Easement 412.1” was received in the Commission's Long Beach office.  This document was dated March 2</w:t>
      </w:r>
      <w:r>
        <w:rPr>
          <w:rFonts w:ascii="Arial" w:hAnsi="Arial"/>
        </w:rPr>
        <w:t>7</w:t>
      </w:r>
      <w:r w:rsidR="0026552C">
        <w:rPr>
          <w:rFonts w:ascii="Arial" w:hAnsi="Arial"/>
        </w:rPr>
        <w:t xml:space="preserve">, 2009, </w:t>
      </w:r>
      <w:r>
        <w:rPr>
          <w:rFonts w:ascii="Arial" w:hAnsi="Arial"/>
        </w:rPr>
        <w:t xml:space="preserve">and </w:t>
      </w:r>
      <w:r w:rsidR="0026552C">
        <w:rPr>
          <w:rFonts w:ascii="Arial" w:hAnsi="Arial"/>
        </w:rPr>
        <w:t>terminates Compensatory Agreement Easement 412.1</w:t>
      </w:r>
      <w:r>
        <w:rPr>
          <w:rFonts w:ascii="Arial" w:hAnsi="Arial"/>
        </w:rPr>
        <w:t xml:space="preserve"> by mutual consent</w:t>
      </w:r>
      <w:r w:rsidR="0026552C">
        <w:rPr>
          <w:rFonts w:ascii="Arial" w:hAnsi="Arial"/>
        </w:rPr>
        <w:t>.</w:t>
      </w:r>
    </w:p>
    <w:p w:rsidR="0026552C" w:rsidRDefault="0026552C" w:rsidP="00E940FD">
      <w:pPr>
        <w:ind w:left="720"/>
        <w:rPr>
          <w:rFonts w:ascii="Arial" w:hAnsi="Arial"/>
        </w:rPr>
      </w:pPr>
    </w:p>
    <w:p w:rsidR="0026552C" w:rsidRDefault="00E20BCF" w:rsidP="00E940FD">
      <w:pPr>
        <w:ind w:left="1440" w:hanging="720"/>
        <w:rPr>
          <w:rFonts w:ascii="Arial" w:hAnsi="Arial"/>
        </w:rPr>
      </w:pPr>
      <w:r>
        <w:rPr>
          <w:rFonts w:ascii="Arial" w:hAnsi="Arial"/>
        </w:rPr>
        <w:t>2.</w:t>
      </w:r>
      <w:r>
        <w:rPr>
          <w:rFonts w:ascii="Arial" w:hAnsi="Arial"/>
        </w:rPr>
        <w:tab/>
      </w:r>
      <w:r w:rsidR="0026552C">
        <w:rPr>
          <w:rFonts w:ascii="Arial" w:hAnsi="Arial"/>
        </w:rPr>
        <w:t>Pursuant to the Commission's delegation of authority and the State CEQA Guidelines (Title 14, California Code of Regulations</w:t>
      </w:r>
      <w:r w:rsidR="00F5604D">
        <w:rPr>
          <w:rFonts w:ascii="Arial" w:hAnsi="Arial"/>
        </w:rPr>
        <w:t>,</w:t>
      </w:r>
      <w:r w:rsidR="0026552C">
        <w:rPr>
          <w:rFonts w:ascii="Arial" w:hAnsi="Arial"/>
        </w:rPr>
        <w:t xml:space="preserve"> </w:t>
      </w:r>
      <w:r w:rsidR="00F5604D">
        <w:rPr>
          <w:rFonts w:ascii="Arial" w:hAnsi="Arial"/>
        </w:rPr>
        <w:t>S</w:t>
      </w:r>
      <w:r w:rsidR="0026552C">
        <w:rPr>
          <w:rFonts w:ascii="Arial" w:hAnsi="Arial"/>
        </w:rPr>
        <w:t>ection 1506</w:t>
      </w:r>
      <w:r w:rsidR="00B1789B">
        <w:rPr>
          <w:rFonts w:ascii="Arial" w:hAnsi="Arial"/>
        </w:rPr>
        <w:t>0</w:t>
      </w:r>
      <w:r w:rsidR="0026552C">
        <w:rPr>
          <w:rFonts w:ascii="Arial" w:hAnsi="Arial"/>
        </w:rPr>
        <w:t>)</w:t>
      </w:r>
      <w:r w:rsidR="00B1789B">
        <w:rPr>
          <w:rFonts w:ascii="Arial" w:hAnsi="Arial"/>
        </w:rPr>
        <w:t>©(3)]</w:t>
      </w:r>
      <w:r w:rsidR="0026552C">
        <w:rPr>
          <w:rFonts w:ascii="Arial" w:hAnsi="Arial"/>
        </w:rPr>
        <w:t>, the staff has determined that this activity is</w:t>
      </w:r>
      <w:r w:rsidR="00B1789B">
        <w:rPr>
          <w:rFonts w:ascii="Arial" w:hAnsi="Arial"/>
        </w:rPr>
        <w:t xml:space="preserve"> not subject to the provisions of CEQA because it is not a “project" as defined by the CEQA and the State CEQA Guildlines.</w:t>
      </w:r>
      <w:r w:rsidR="0026552C">
        <w:rPr>
          <w:rFonts w:ascii="Arial" w:hAnsi="Arial"/>
        </w:rPr>
        <w:t xml:space="preserve"> </w:t>
      </w:r>
    </w:p>
    <w:p w:rsidR="0026552C" w:rsidRDefault="0026552C" w:rsidP="00E940FD">
      <w:pPr>
        <w:ind w:left="720"/>
        <w:rPr>
          <w:rFonts w:ascii="Arial" w:hAnsi="Arial"/>
        </w:rPr>
      </w:pPr>
    </w:p>
    <w:p w:rsidR="00E940FD" w:rsidRDefault="00105314" w:rsidP="00E940FD">
      <w:pPr>
        <w:ind w:left="2880" w:hanging="1440"/>
        <w:rPr>
          <w:rFonts w:ascii="Arial" w:hAnsi="Arial"/>
        </w:rPr>
      </w:pPr>
      <w:r>
        <w:rPr>
          <w:rFonts w:ascii="Arial" w:hAnsi="Arial"/>
        </w:rPr>
        <w:t>Authority:</w:t>
      </w:r>
      <w:r w:rsidR="0026552C">
        <w:rPr>
          <w:rFonts w:ascii="Arial" w:hAnsi="Arial"/>
        </w:rPr>
        <w:tab/>
      </w:r>
      <w:r w:rsidR="00B1789B">
        <w:rPr>
          <w:rFonts w:ascii="Arial" w:hAnsi="Arial"/>
        </w:rPr>
        <w:t xml:space="preserve">Public Resources Code section 21065 and Title 14, California Code of Regulations, sections 15060 © (3) and 15278. </w:t>
      </w:r>
    </w:p>
    <w:p w:rsidR="00B1789B" w:rsidRDefault="00B1789B" w:rsidP="00E940FD">
      <w:pPr>
        <w:ind w:left="2880" w:hanging="1440"/>
        <w:rPr>
          <w:rFonts w:ascii="Arial" w:hAnsi="Arial"/>
        </w:rPr>
      </w:pPr>
    </w:p>
    <w:p w:rsidR="00E20BCF" w:rsidRDefault="00E20BCF" w:rsidP="00E940FD">
      <w:pPr>
        <w:pStyle w:val="BodyTextIndent"/>
        <w:tabs>
          <w:tab w:val="clear" w:pos="-504"/>
          <w:tab w:val="clear" w:pos="720"/>
          <w:tab w:val="clear" w:pos="1440"/>
          <w:tab w:val="clear" w:pos="4680"/>
          <w:tab w:val="clear" w:pos="7560"/>
        </w:tabs>
        <w:ind w:hanging="630"/>
        <w:rPr>
          <w:rFonts w:cs="Arial"/>
        </w:rPr>
      </w:pPr>
      <w:r>
        <w:rPr>
          <w:rFonts w:cs="Arial"/>
        </w:rPr>
        <w:t>3.</w:t>
      </w:r>
      <w:r>
        <w:rPr>
          <w:rFonts w:cs="Arial"/>
        </w:rPr>
        <w:tab/>
        <w:t>This activity involves lands identified as possessing significant environmental values pursuant to Public Resources Code sections 6370, et seq.  Based upon the staff’s consultation with the persons nominating such lands and through the CEQA review process, it is the staff’s opinion that the project, as proposed, is consistent with its use classification.</w:t>
      </w:r>
    </w:p>
    <w:p w:rsidR="0026552C" w:rsidRDefault="0026552C" w:rsidP="00E940FD">
      <w:pPr>
        <w:tabs>
          <w:tab w:val="left" w:pos="-1080"/>
          <w:tab w:val="left" w:pos="-720"/>
          <w:tab w:val="left" w:pos="720"/>
          <w:tab w:val="left" w:pos="1440"/>
          <w:tab w:val="left" w:pos="4680"/>
          <w:tab w:val="left" w:pos="7560"/>
        </w:tabs>
        <w:rPr>
          <w:rFonts w:ascii="Arial" w:hAnsi="Arial"/>
        </w:rPr>
      </w:pPr>
    </w:p>
    <w:p w:rsidR="00D86F13" w:rsidRDefault="00D86F13" w:rsidP="00E940FD">
      <w:pPr>
        <w:rPr>
          <w:rFonts w:ascii="Arial" w:hAnsi="Arial" w:cs="Arial"/>
          <w:b/>
        </w:rPr>
      </w:pPr>
      <w:r>
        <w:rPr>
          <w:rFonts w:ascii="Arial" w:hAnsi="Arial" w:cs="Arial"/>
          <w:b/>
        </w:rPr>
        <w:t>EXHIBITS:</w:t>
      </w:r>
    </w:p>
    <w:p w:rsidR="00D86F13" w:rsidRDefault="00D86F13" w:rsidP="00E940FD">
      <w:pPr>
        <w:ind w:left="1440" w:hanging="720"/>
        <w:rPr>
          <w:rFonts w:ascii="Arial" w:hAnsi="Arial" w:cs="Arial"/>
        </w:rPr>
      </w:pPr>
      <w:r>
        <w:rPr>
          <w:rFonts w:ascii="Arial" w:hAnsi="Arial" w:cs="Arial"/>
        </w:rPr>
        <w:t>A.</w:t>
      </w:r>
      <w:r>
        <w:rPr>
          <w:rFonts w:ascii="Arial" w:hAnsi="Arial" w:cs="Arial"/>
        </w:rPr>
        <w:tab/>
        <w:t>Location Map</w:t>
      </w:r>
    </w:p>
    <w:p w:rsidR="00D86F13" w:rsidRDefault="00D86F13" w:rsidP="00E940FD">
      <w:pPr>
        <w:ind w:left="1440" w:hanging="720"/>
        <w:rPr>
          <w:rFonts w:ascii="Arial" w:hAnsi="Arial" w:cs="Arial"/>
        </w:rPr>
      </w:pPr>
      <w:r>
        <w:rPr>
          <w:rFonts w:ascii="Arial" w:hAnsi="Arial" w:cs="Arial"/>
        </w:rPr>
        <w:t>B.</w:t>
      </w:r>
      <w:r>
        <w:rPr>
          <w:rFonts w:ascii="Arial" w:hAnsi="Arial" w:cs="Arial"/>
        </w:rPr>
        <w:tab/>
      </w:r>
      <w:r w:rsidR="0026552C">
        <w:rPr>
          <w:rFonts w:ascii="Arial" w:hAnsi="Arial" w:cs="Arial"/>
        </w:rPr>
        <w:t>Quitclaim of Compensatory Agreement Easement 412.1</w:t>
      </w:r>
    </w:p>
    <w:p w:rsidR="00D86F13" w:rsidRDefault="00D86F13" w:rsidP="00E940FD">
      <w:pPr>
        <w:rPr>
          <w:rFonts w:ascii="Arial" w:hAnsi="Arial" w:cs="Arial"/>
        </w:rPr>
      </w:pPr>
    </w:p>
    <w:p w:rsidR="00D86F13" w:rsidRDefault="00D86F13" w:rsidP="00E940FD">
      <w:pPr>
        <w:rPr>
          <w:rFonts w:ascii="Arial" w:hAnsi="Arial" w:cs="Arial"/>
          <w:b/>
        </w:rPr>
      </w:pPr>
      <w:r>
        <w:rPr>
          <w:rFonts w:ascii="Arial" w:hAnsi="Arial" w:cs="Arial"/>
          <w:b/>
        </w:rPr>
        <w:t>PERMIT STREAMLINING ACT DEADLINE:</w:t>
      </w:r>
    </w:p>
    <w:p w:rsidR="00D86F13" w:rsidRDefault="00D86F13" w:rsidP="00E940FD">
      <w:pPr>
        <w:ind w:left="720"/>
        <w:rPr>
          <w:rFonts w:ascii="Arial" w:hAnsi="Arial" w:cs="Arial"/>
        </w:rPr>
      </w:pPr>
      <w:r>
        <w:rPr>
          <w:rFonts w:ascii="Arial" w:hAnsi="Arial" w:cs="Arial"/>
        </w:rPr>
        <w:t>N/A (not a “development project” subject to the Act)</w:t>
      </w:r>
    </w:p>
    <w:p w:rsidR="00D86F13" w:rsidRDefault="00D86F13" w:rsidP="00E940FD">
      <w:pPr>
        <w:rPr>
          <w:rFonts w:ascii="Arial" w:hAnsi="Arial" w:cs="Arial"/>
          <w:b/>
        </w:rPr>
      </w:pPr>
    </w:p>
    <w:p w:rsidR="00D86F13" w:rsidRDefault="00D86F13" w:rsidP="00E940FD">
      <w:pPr>
        <w:rPr>
          <w:rFonts w:ascii="Arial" w:hAnsi="Arial" w:cs="Arial"/>
          <w:b/>
        </w:rPr>
      </w:pPr>
      <w:r>
        <w:rPr>
          <w:rFonts w:ascii="Arial" w:hAnsi="Arial" w:cs="Arial"/>
          <w:b/>
        </w:rPr>
        <w:t>RECOMMEND ACTION:</w:t>
      </w:r>
    </w:p>
    <w:p w:rsidR="00D86F13" w:rsidRDefault="00D86F13" w:rsidP="00E940FD">
      <w:pPr>
        <w:rPr>
          <w:rFonts w:ascii="Arial" w:hAnsi="Arial" w:cs="Arial"/>
        </w:rPr>
      </w:pPr>
      <w:r>
        <w:rPr>
          <w:rFonts w:ascii="Arial" w:hAnsi="Arial" w:cs="Arial"/>
        </w:rPr>
        <w:t>IT IS RECOMMENDED THAT THE COMMISSION:</w:t>
      </w:r>
    </w:p>
    <w:p w:rsidR="00D86F13" w:rsidRDefault="00D86F13" w:rsidP="00E940FD">
      <w:pPr>
        <w:rPr>
          <w:rFonts w:ascii="Arial" w:hAnsi="Arial" w:cs="Arial"/>
        </w:rPr>
      </w:pPr>
    </w:p>
    <w:p w:rsidR="00D86F13" w:rsidRDefault="00D86F13" w:rsidP="00E940FD">
      <w:pPr>
        <w:tabs>
          <w:tab w:val="left" w:pos="748"/>
        </w:tabs>
        <w:ind w:left="750"/>
        <w:rPr>
          <w:rFonts w:ascii="Arial" w:hAnsi="Arial" w:cs="Arial"/>
          <w:b/>
        </w:rPr>
      </w:pPr>
      <w:r>
        <w:rPr>
          <w:rFonts w:ascii="Arial" w:hAnsi="Arial" w:cs="Arial"/>
          <w:b/>
        </w:rPr>
        <w:t>CEQA FINDINGS:</w:t>
      </w:r>
    </w:p>
    <w:p w:rsidR="00E20BCF" w:rsidRDefault="00D86F13" w:rsidP="00E940FD">
      <w:pPr>
        <w:widowControl/>
        <w:numPr>
          <w:ilvl w:val="0"/>
          <w:numId w:val="10"/>
        </w:numPr>
        <w:ind w:left="2160" w:hanging="720"/>
        <w:rPr>
          <w:rFonts w:ascii="Arial" w:hAnsi="Arial" w:cs="Arial"/>
        </w:rPr>
      </w:pPr>
      <w:r w:rsidRPr="00B1789B">
        <w:rPr>
          <w:rFonts w:ascii="Arial" w:hAnsi="Arial" w:cs="Arial"/>
        </w:rPr>
        <w:t>FIND THAT TH</w:t>
      </w:r>
      <w:r w:rsidR="0026552C" w:rsidRPr="00B1789B">
        <w:rPr>
          <w:rFonts w:ascii="Arial" w:hAnsi="Arial" w:cs="Arial"/>
        </w:rPr>
        <w:t xml:space="preserve">E </w:t>
      </w:r>
      <w:r w:rsidRPr="00B1789B">
        <w:rPr>
          <w:rFonts w:ascii="Arial" w:hAnsi="Arial" w:cs="Arial"/>
        </w:rPr>
        <w:t xml:space="preserve">ACTIVITY IS </w:t>
      </w:r>
      <w:r w:rsidR="00B1789B" w:rsidRPr="00B1789B">
        <w:rPr>
          <w:rFonts w:ascii="Arial" w:hAnsi="Arial" w:cs="Arial"/>
        </w:rPr>
        <w:t xml:space="preserve">NOT </w:t>
      </w:r>
      <w:r w:rsidR="00B1789B">
        <w:rPr>
          <w:rFonts w:ascii="Arial" w:hAnsi="Arial" w:cs="Arial"/>
        </w:rPr>
        <w:t>SUBJECT TO THE REQUIREMENTS OF THE CEQA PURSUANT TO TITLE 14, CALIFORNIA CODE OF REGULATIONS, SECTION 15060 © (3) BECAUSE THE ACTIVITY IS NOT A PROJECT AS DEFINED BY PUBLIC RESOURCES CODE SECTION 21065 AND TITLE 14, CALIFORNIA CODE OF REGULATIONS, SECTION 15378.</w:t>
      </w:r>
    </w:p>
    <w:p w:rsidR="00B1789B" w:rsidRPr="00B1789B" w:rsidRDefault="00B1789B" w:rsidP="00B1789B">
      <w:pPr>
        <w:widowControl/>
        <w:rPr>
          <w:rFonts w:ascii="Arial" w:hAnsi="Arial" w:cs="Arial"/>
        </w:rPr>
      </w:pPr>
    </w:p>
    <w:p w:rsidR="00E20BCF" w:rsidRDefault="00E20BCF" w:rsidP="00E940FD">
      <w:pPr>
        <w:widowControl/>
        <w:numPr>
          <w:ilvl w:val="0"/>
          <w:numId w:val="10"/>
        </w:numPr>
        <w:ind w:left="2160" w:hanging="720"/>
        <w:rPr>
          <w:rFonts w:ascii="Arial" w:hAnsi="Arial" w:cs="Arial"/>
        </w:rPr>
      </w:pPr>
      <w:r>
        <w:rPr>
          <w:rFonts w:ascii="Arial" w:hAnsi="Arial" w:cs="Arial"/>
        </w:rPr>
        <w:t>FIND THAT THIS ACTIVITY IS CONSISTENT WITH THE USE CLASSIFICATION DESIGNATED BY THE COMMISSION FOR THE LAND PURSUANT TO PUBLIC RESOURCES CODE SECTIONS 6370, ET SEQ.</w:t>
      </w:r>
    </w:p>
    <w:p w:rsidR="00D86F13" w:rsidRDefault="00D86F13" w:rsidP="00E940FD">
      <w:pPr>
        <w:rPr>
          <w:rFonts w:ascii="Arial" w:hAnsi="Arial" w:cs="Arial"/>
        </w:rPr>
      </w:pPr>
    </w:p>
    <w:p w:rsidR="00D86F13" w:rsidRDefault="00D86F13" w:rsidP="00E940FD">
      <w:pPr>
        <w:ind w:left="720"/>
        <w:rPr>
          <w:rFonts w:ascii="Arial" w:hAnsi="Arial" w:cs="Arial"/>
          <w:b/>
        </w:rPr>
      </w:pPr>
      <w:r>
        <w:rPr>
          <w:rFonts w:ascii="Arial" w:hAnsi="Arial" w:cs="Arial"/>
          <w:b/>
        </w:rPr>
        <w:t>AUTHORIZATION:</w:t>
      </w:r>
    </w:p>
    <w:p w:rsidR="00D86F13" w:rsidRDefault="00D86F13" w:rsidP="00E940FD">
      <w:pPr>
        <w:pStyle w:val="BodyTextIndent"/>
        <w:numPr>
          <w:ilvl w:val="0"/>
          <w:numId w:val="11"/>
        </w:numPr>
        <w:tabs>
          <w:tab w:val="clear" w:pos="-504"/>
          <w:tab w:val="clear" w:pos="720"/>
          <w:tab w:val="clear" w:pos="1440"/>
          <w:tab w:val="clear" w:pos="4680"/>
          <w:tab w:val="clear" w:pos="7560"/>
        </w:tabs>
        <w:ind w:left="2160" w:hanging="720"/>
        <w:rPr>
          <w:rFonts w:cs="Arial"/>
        </w:rPr>
      </w:pPr>
      <w:r>
        <w:rPr>
          <w:rFonts w:cs="Arial"/>
        </w:rPr>
        <w:t>A</w:t>
      </w:r>
      <w:r w:rsidR="00C9411A">
        <w:rPr>
          <w:rFonts w:cs="Arial"/>
        </w:rPr>
        <w:t>CCEPT FROM PACIFIC GAS AND ELECTRIC COMPANY THE QUITCLAIM OF COMPENSATORY AGREEME</w:t>
      </w:r>
      <w:r w:rsidR="002070B6">
        <w:rPr>
          <w:rFonts w:cs="Arial"/>
        </w:rPr>
        <w:t>NT EASEMENT 412.1 DATED MARCH 27</w:t>
      </w:r>
      <w:r w:rsidR="00C9411A">
        <w:rPr>
          <w:rFonts w:cs="Arial"/>
        </w:rPr>
        <w:t>, 2009, WHEREIN PACIFIC GAS AND ELECTRIC COMPANY TERMINATE</w:t>
      </w:r>
      <w:r w:rsidR="004128C2">
        <w:rPr>
          <w:rFonts w:cs="Arial"/>
        </w:rPr>
        <w:t>D</w:t>
      </w:r>
      <w:r w:rsidR="00C9411A">
        <w:rPr>
          <w:rFonts w:cs="Arial"/>
        </w:rPr>
        <w:t xml:space="preserve"> COMPENSATORY AGREEMENT EASEMENT 412.1 ISSUED </w:t>
      </w:r>
      <w:r w:rsidR="00C71710">
        <w:rPr>
          <w:rFonts w:cs="Arial"/>
        </w:rPr>
        <w:t>MARCH 1, 1940 (</w:t>
      </w:r>
      <w:r w:rsidR="00C9411A">
        <w:rPr>
          <w:rFonts w:cs="Arial"/>
        </w:rPr>
        <w:t>AS AMEN</w:t>
      </w:r>
      <w:r w:rsidR="004128C2">
        <w:rPr>
          <w:rFonts w:cs="Arial"/>
        </w:rPr>
        <w:t>D</w:t>
      </w:r>
      <w:r w:rsidR="00C9411A">
        <w:rPr>
          <w:rFonts w:cs="Arial"/>
        </w:rPr>
        <w:t>ED BY AGREEMENT EFFECTIVE JUNE 1, 1950</w:t>
      </w:r>
      <w:r w:rsidR="00C71710">
        <w:rPr>
          <w:rFonts w:cs="Arial"/>
        </w:rPr>
        <w:t>)</w:t>
      </w:r>
      <w:r w:rsidR="002070B6">
        <w:rPr>
          <w:rFonts w:cs="Arial"/>
        </w:rPr>
        <w:t>, EFFECTIVE</w:t>
      </w:r>
      <w:r w:rsidR="00487455">
        <w:rPr>
          <w:rFonts w:cs="Arial"/>
        </w:rPr>
        <w:t xml:space="preserve"> APRIL 8</w:t>
      </w:r>
      <w:r w:rsidR="00C9411A">
        <w:rPr>
          <w:rFonts w:cs="Arial"/>
        </w:rPr>
        <w:t>, 2009, THE FILING DATE OF THE QUITCLAIM.</w:t>
      </w:r>
    </w:p>
    <w:p w:rsidR="00D86F13" w:rsidRDefault="00D86F13" w:rsidP="00E940FD">
      <w:pPr>
        <w:ind w:left="2160" w:hanging="720"/>
        <w:rPr>
          <w:rFonts w:ascii="Arial" w:hAnsi="Arial" w:cs="Arial"/>
        </w:rPr>
      </w:pPr>
    </w:p>
    <w:p w:rsidR="00D86F13" w:rsidRDefault="00C9411A" w:rsidP="00E940FD">
      <w:pPr>
        <w:numPr>
          <w:ilvl w:val="0"/>
          <w:numId w:val="11"/>
        </w:numPr>
        <w:ind w:left="2160" w:hanging="720"/>
        <w:rPr>
          <w:rFonts w:ascii="Arial" w:hAnsi="Arial" w:cs="Arial"/>
        </w:rPr>
      </w:pPr>
      <w:r>
        <w:rPr>
          <w:rFonts w:ascii="Arial" w:hAnsi="Arial" w:cs="Arial"/>
        </w:rPr>
        <w:t>A</w:t>
      </w:r>
      <w:r w:rsidR="00D86F13">
        <w:rPr>
          <w:rFonts w:ascii="Arial" w:hAnsi="Arial" w:cs="Arial"/>
        </w:rPr>
        <w:t>UTHORIZE THE EXECUTIVE OFFICER OR HIS DESIGNEE TO EXECUTE ANY DOCUMENTS NECESSARY TO IMPLEMENT THE COMMISSION’S ACTION.</w:t>
      </w:r>
    </w:p>
    <w:sectPr w:rsidR="00D86F13" w:rsidSect="00E00782">
      <w:headerReference w:type="default" r:id="rId9"/>
      <w:endnotePr>
        <w:numFmt w:val="decimal"/>
      </w:endnotePr>
      <w:type w:val="continuous"/>
      <w:pgSz w:w="12240" w:h="15840" w:code="1"/>
      <w:pgMar w:top="2160" w:right="1440" w:bottom="216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89B" w:rsidRDefault="00B1789B">
      <w:r>
        <w:separator/>
      </w:r>
    </w:p>
  </w:endnote>
  <w:endnote w:type="continuationSeparator" w:id="1">
    <w:p w:rsidR="00B1789B" w:rsidRDefault="00B17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9B" w:rsidRDefault="00B1789B">
    <w:pPr>
      <w:tabs>
        <w:tab w:val="center" w:pos="4680"/>
        <w:tab w:val="right" w:pos="9360"/>
      </w:tabs>
      <w:rPr>
        <w:rFonts w:ascii="Arial" w:hAnsi="Arial" w:cs="Arial"/>
      </w:rPr>
    </w:pPr>
    <w:r>
      <w:tab/>
    </w:r>
    <w:r>
      <w:rPr>
        <w:rFonts w:ascii="Arial" w:hAnsi="Arial" w:cs="Arial"/>
      </w:rPr>
      <w:t>-</w:t>
    </w:r>
    <w:r w:rsidR="00B6675F">
      <w:rPr>
        <w:rStyle w:val="PageNumber"/>
        <w:rFonts w:ascii="Arial" w:hAnsi="Arial" w:cs="Arial"/>
      </w:rPr>
      <w:fldChar w:fldCharType="begin"/>
    </w:r>
    <w:r>
      <w:rPr>
        <w:rStyle w:val="PageNumber"/>
        <w:rFonts w:ascii="Arial" w:hAnsi="Arial" w:cs="Arial"/>
      </w:rPr>
      <w:instrText xml:space="preserve"> PAGE </w:instrText>
    </w:r>
    <w:r w:rsidR="00B6675F">
      <w:rPr>
        <w:rStyle w:val="PageNumber"/>
        <w:rFonts w:ascii="Arial" w:hAnsi="Arial" w:cs="Arial"/>
      </w:rPr>
      <w:fldChar w:fldCharType="separate"/>
    </w:r>
    <w:r w:rsidR="0068291A">
      <w:rPr>
        <w:rStyle w:val="PageNumber"/>
        <w:rFonts w:ascii="Arial" w:hAnsi="Arial" w:cs="Arial"/>
        <w:noProof/>
      </w:rPr>
      <w:t>1</w:t>
    </w:r>
    <w:r w:rsidR="00B6675F">
      <w:rPr>
        <w:rStyle w:val="PageNumber"/>
        <w:rFonts w:ascii="Arial" w:hAnsi="Arial" w:cs="Arial"/>
      </w:rPr>
      <w:fldChar w:fldCharType="end"/>
    </w:r>
    <w:r>
      <w:rPr>
        <w:rStyle w:val="PageNumbe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89B" w:rsidRDefault="00B1789B">
      <w:r>
        <w:separator/>
      </w:r>
    </w:p>
  </w:footnote>
  <w:footnote w:type="continuationSeparator" w:id="1">
    <w:p w:rsidR="00B1789B" w:rsidRDefault="00B17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9B" w:rsidRDefault="00B1789B">
    <w:pPr>
      <w:tabs>
        <w:tab w:val="center" w:pos="4680"/>
        <w:tab w:val="left" w:pos="7560"/>
      </w:tabs>
      <w:rPr>
        <w:rFonts w:ascii="Arial" w:hAnsi="Arial"/>
      </w:rPr>
    </w:pPr>
    <w:r>
      <w:tab/>
    </w:r>
    <w:r>
      <w:rPr>
        <w:rFonts w:ascii="Arial" w:hAnsi="Arial"/>
        <w:u w:val="single"/>
      </w:rPr>
      <w:t xml:space="preserve">CALENDAR ITEM NO. </w:t>
    </w:r>
    <w:r>
      <w:rPr>
        <w:rFonts w:ascii="Arial" w:hAnsi="Arial"/>
        <w:b/>
        <w:sz w:val="36"/>
        <w:u w:val="single"/>
      </w:rPr>
      <w:t>C</w:t>
    </w:r>
    <w:r w:rsidR="0068291A">
      <w:rPr>
        <w:rFonts w:ascii="Arial" w:hAnsi="Arial"/>
        <w:b/>
        <w:sz w:val="36"/>
        <w:u w:val="single"/>
      </w:rPr>
      <w:t>58</w:t>
    </w:r>
    <w:r>
      <w:rPr>
        <w:rFonts w:ascii="Arial" w:hAnsi="Arial"/>
        <w:b/>
        <w:sz w:val="36"/>
        <w:u w:val="single"/>
      </w:rPr>
      <w:t xml:space="preserve">  </w:t>
    </w:r>
    <w:r>
      <w:rPr>
        <w:rFonts w:ascii="Arial" w:hAnsi="Arial"/>
        <w:u w:val="single"/>
      </w:rPr>
      <w:t xml:space="preserve">  (CONT'D)</w:t>
    </w:r>
  </w:p>
  <w:p w:rsidR="00B1789B" w:rsidRDefault="00B1789B">
    <w:pPr>
      <w:tabs>
        <w:tab w:val="left" w:pos="-1440"/>
        <w:tab w:val="left" w:pos="-720"/>
        <w:tab w:val="left" w:pos="720"/>
        <w:tab w:val="left" w:pos="1320"/>
        <w:tab w:val="left" w:pos="4680"/>
        <w:tab w:val="left" w:pos="7560"/>
      </w:tabs>
      <w:rPr>
        <w:rFonts w:ascii="Arial" w:hAnsi="Arial"/>
      </w:rPr>
    </w:pPr>
  </w:p>
  <w:p w:rsidR="00B1789B" w:rsidRDefault="00B1789B">
    <w:pPr>
      <w:spacing w:line="240" w:lineRule="exact"/>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B6E238"/>
    <w:lvl w:ilvl="0">
      <w:numFmt w:val="decimal"/>
      <w:lvlText w:val="*"/>
      <w:lvlJc w:val="left"/>
    </w:lvl>
  </w:abstractNum>
  <w:abstractNum w:abstractNumId="1">
    <w:nsid w:val="07B678CF"/>
    <w:multiLevelType w:val="hybridMultilevel"/>
    <w:tmpl w:val="C598162E"/>
    <w:lvl w:ilvl="0" w:tplc="3C40F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6D190C"/>
    <w:multiLevelType w:val="hybridMultilevel"/>
    <w:tmpl w:val="95B81F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19F00D8"/>
    <w:multiLevelType w:val="hybridMultilevel"/>
    <w:tmpl w:val="7554988A"/>
    <w:lvl w:ilvl="0" w:tplc="C2C6E288">
      <w:start w:val="2"/>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4">
    <w:nsid w:val="241C6C1D"/>
    <w:multiLevelType w:val="hybridMultilevel"/>
    <w:tmpl w:val="94A63A44"/>
    <w:lvl w:ilvl="0" w:tplc="308CDF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0B41D4"/>
    <w:multiLevelType w:val="singleLevel"/>
    <w:tmpl w:val="0409000F"/>
    <w:lvl w:ilvl="0">
      <w:start w:val="1"/>
      <w:numFmt w:val="decimal"/>
      <w:lvlText w:val="%1."/>
      <w:lvlJc w:val="left"/>
      <w:pPr>
        <w:tabs>
          <w:tab w:val="num" w:pos="360"/>
        </w:tabs>
        <w:ind w:left="360" w:hanging="360"/>
      </w:pPr>
    </w:lvl>
  </w:abstractNum>
  <w:abstractNum w:abstractNumId="6">
    <w:nsid w:val="2858006D"/>
    <w:multiLevelType w:val="hybridMultilevel"/>
    <w:tmpl w:val="95AEAE38"/>
    <w:lvl w:ilvl="0" w:tplc="6FC681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C67C03"/>
    <w:multiLevelType w:val="hybridMultilevel"/>
    <w:tmpl w:val="C896C46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4D3C2D18"/>
    <w:multiLevelType w:val="hybridMultilevel"/>
    <w:tmpl w:val="4AE48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38F0C8B"/>
    <w:multiLevelType w:val="hybridMultilevel"/>
    <w:tmpl w:val="C4240FD4"/>
    <w:lvl w:ilvl="0" w:tplc="96BE8BB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D184841"/>
    <w:multiLevelType w:val="hybridMultilevel"/>
    <w:tmpl w:val="AD20438C"/>
    <w:lvl w:ilvl="0" w:tplc="F7F4CEE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8"/>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2"/>
  </w:num>
  <w:num w:numId="6">
    <w:abstractNumId w:val="7"/>
  </w:num>
  <w:num w:numId="7">
    <w:abstractNumId w:val="3"/>
  </w:num>
  <w:num w:numId="8">
    <w:abstractNumId w:val="10"/>
  </w:num>
  <w:num w:numId="9">
    <w:abstractNumId w:val="1"/>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11265"/>
  </w:hdrShapeDefaults>
  <w:footnotePr>
    <w:footnote w:id="0"/>
    <w:footnote w:id="1"/>
  </w:footnotePr>
  <w:endnotePr>
    <w:numFmt w:val="decimal"/>
    <w:endnote w:id="0"/>
    <w:endnote w:id="1"/>
  </w:endnotePr>
  <w:compat/>
  <w:rsids>
    <w:rsidRoot w:val="00150D8E"/>
    <w:rsid w:val="00015F17"/>
    <w:rsid w:val="00034A15"/>
    <w:rsid w:val="00051AC7"/>
    <w:rsid w:val="00054451"/>
    <w:rsid w:val="00105314"/>
    <w:rsid w:val="00150D8E"/>
    <w:rsid w:val="00192601"/>
    <w:rsid w:val="002070B6"/>
    <w:rsid w:val="00234630"/>
    <w:rsid w:val="00236749"/>
    <w:rsid w:val="0026552C"/>
    <w:rsid w:val="00270985"/>
    <w:rsid w:val="00276BEC"/>
    <w:rsid w:val="002E367F"/>
    <w:rsid w:val="00305F15"/>
    <w:rsid w:val="00364C0C"/>
    <w:rsid w:val="003F5CE3"/>
    <w:rsid w:val="004128C2"/>
    <w:rsid w:val="004138FD"/>
    <w:rsid w:val="00415461"/>
    <w:rsid w:val="00455903"/>
    <w:rsid w:val="00487455"/>
    <w:rsid w:val="004D2A43"/>
    <w:rsid w:val="004E1CBB"/>
    <w:rsid w:val="00545B18"/>
    <w:rsid w:val="00651D29"/>
    <w:rsid w:val="0066594E"/>
    <w:rsid w:val="0068291A"/>
    <w:rsid w:val="006B0257"/>
    <w:rsid w:val="006E4CA3"/>
    <w:rsid w:val="007E70A5"/>
    <w:rsid w:val="0082130C"/>
    <w:rsid w:val="00822B17"/>
    <w:rsid w:val="0089518A"/>
    <w:rsid w:val="00944221"/>
    <w:rsid w:val="009C4602"/>
    <w:rsid w:val="009D17CF"/>
    <w:rsid w:val="00A125F7"/>
    <w:rsid w:val="00A25C3E"/>
    <w:rsid w:val="00AA1EA7"/>
    <w:rsid w:val="00AF5446"/>
    <w:rsid w:val="00AF7CC9"/>
    <w:rsid w:val="00B1789B"/>
    <w:rsid w:val="00B527B2"/>
    <w:rsid w:val="00B6675F"/>
    <w:rsid w:val="00BC13AF"/>
    <w:rsid w:val="00C14E9A"/>
    <w:rsid w:val="00C71710"/>
    <w:rsid w:val="00C9411A"/>
    <w:rsid w:val="00CB5079"/>
    <w:rsid w:val="00D21988"/>
    <w:rsid w:val="00D86F13"/>
    <w:rsid w:val="00DB26A3"/>
    <w:rsid w:val="00DC4BD4"/>
    <w:rsid w:val="00DD6AF6"/>
    <w:rsid w:val="00E00782"/>
    <w:rsid w:val="00E20BCF"/>
    <w:rsid w:val="00E34815"/>
    <w:rsid w:val="00E372F7"/>
    <w:rsid w:val="00E840C5"/>
    <w:rsid w:val="00E940FD"/>
    <w:rsid w:val="00F5604D"/>
    <w:rsid w:val="00F83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78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00782"/>
  </w:style>
  <w:style w:type="paragraph" w:styleId="BodyTextIndent">
    <w:name w:val="Body Text Indent"/>
    <w:basedOn w:val="Normal"/>
    <w:rsid w:val="00E00782"/>
    <w:pPr>
      <w:tabs>
        <w:tab w:val="left" w:pos="-504"/>
        <w:tab w:val="left" w:pos="720"/>
        <w:tab w:val="left" w:pos="1440"/>
        <w:tab w:val="left" w:pos="4680"/>
        <w:tab w:val="left" w:pos="7560"/>
      </w:tabs>
      <w:ind w:left="1440"/>
    </w:pPr>
    <w:rPr>
      <w:rFonts w:ascii="Arial" w:hAnsi="Arial"/>
    </w:rPr>
  </w:style>
  <w:style w:type="paragraph" w:styleId="BodyTextIndent2">
    <w:name w:val="Body Text Indent 2"/>
    <w:basedOn w:val="Normal"/>
    <w:link w:val="BodyTextIndent2Char"/>
    <w:rsid w:val="00E00782"/>
    <w:pPr>
      <w:tabs>
        <w:tab w:val="left" w:pos="-504"/>
        <w:tab w:val="left" w:pos="720"/>
        <w:tab w:val="left" w:pos="1440"/>
        <w:tab w:val="left" w:pos="1890"/>
        <w:tab w:val="left" w:pos="4320"/>
        <w:tab w:val="left" w:pos="7560"/>
      </w:tabs>
      <w:ind w:left="1440" w:hanging="720"/>
    </w:pPr>
    <w:rPr>
      <w:rFonts w:ascii="Arial" w:hAnsi="Arial"/>
    </w:rPr>
  </w:style>
  <w:style w:type="paragraph" w:styleId="Header">
    <w:name w:val="header"/>
    <w:basedOn w:val="Normal"/>
    <w:rsid w:val="00E00782"/>
    <w:pPr>
      <w:tabs>
        <w:tab w:val="center" w:pos="4320"/>
        <w:tab w:val="right" w:pos="8640"/>
      </w:tabs>
    </w:pPr>
  </w:style>
  <w:style w:type="paragraph" w:styleId="Footer">
    <w:name w:val="footer"/>
    <w:basedOn w:val="Normal"/>
    <w:rsid w:val="00E00782"/>
    <w:pPr>
      <w:tabs>
        <w:tab w:val="center" w:pos="4320"/>
        <w:tab w:val="right" w:pos="8640"/>
      </w:tabs>
    </w:pPr>
  </w:style>
  <w:style w:type="character" w:styleId="PageNumber">
    <w:name w:val="page number"/>
    <w:basedOn w:val="DefaultParagraphFont"/>
    <w:rsid w:val="00E00782"/>
  </w:style>
  <w:style w:type="paragraph" w:styleId="Title">
    <w:name w:val="Title"/>
    <w:basedOn w:val="Normal"/>
    <w:qFormat/>
    <w:rsid w:val="00E00782"/>
    <w:pPr>
      <w:tabs>
        <w:tab w:val="center" w:pos="4680"/>
        <w:tab w:val="left" w:pos="7560"/>
      </w:tabs>
      <w:jc w:val="center"/>
    </w:pPr>
    <w:rPr>
      <w:rFonts w:ascii="Arial" w:hAnsi="Arial"/>
      <w:b/>
    </w:rPr>
  </w:style>
  <w:style w:type="paragraph" w:styleId="Subtitle">
    <w:name w:val="Subtitle"/>
    <w:basedOn w:val="Normal"/>
    <w:qFormat/>
    <w:rsid w:val="00E00782"/>
    <w:pPr>
      <w:tabs>
        <w:tab w:val="left" w:pos="-1440"/>
        <w:tab w:val="left" w:pos="-720"/>
        <w:tab w:val="left" w:pos="720"/>
        <w:tab w:val="left" w:pos="1320"/>
        <w:tab w:val="left" w:pos="4680"/>
        <w:tab w:val="left" w:pos="7560"/>
      </w:tabs>
      <w:jc w:val="center"/>
    </w:pPr>
    <w:rPr>
      <w:rFonts w:ascii="Arial" w:hAnsi="Arial"/>
      <w:b/>
      <w:sz w:val="36"/>
    </w:rPr>
  </w:style>
  <w:style w:type="paragraph" w:styleId="BalloonText">
    <w:name w:val="Balloon Text"/>
    <w:basedOn w:val="Normal"/>
    <w:semiHidden/>
    <w:rsid w:val="00E00782"/>
    <w:rPr>
      <w:rFonts w:ascii="Tahoma" w:hAnsi="Tahoma" w:cs="Tahoma"/>
      <w:sz w:val="16"/>
      <w:szCs w:val="16"/>
    </w:rPr>
  </w:style>
  <w:style w:type="paragraph" w:customStyle="1" w:styleId="a">
    <w:name w:val="_"/>
    <w:rsid w:val="00E00782"/>
    <w:pPr>
      <w:widowControl w:val="0"/>
      <w:overflowPunct w:val="0"/>
      <w:autoSpaceDE w:val="0"/>
      <w:autoSpaceDN w:val="0"/>
      <w:adjustRightInd w:val="0"/>
      <w:ind w:left="-1008"/>
      <w:textAlignment w:val="baseline"/>
    </w:pPr>
    <w:rPr>
      <w:rFonts w:ascii="Arial" w:hAnsi="Arial"/>
      <w:sz w:val="24"/>
    </w:rPr>
  </w:style>
  <w:style w:type="character" w:customStyle="1" w:styleId="BodyTextIndent2Char">
    <w:name w:val="Body Text Indent 2 Char"/>
    <w:basedOn w:val="DefaultParagraphFont"/>
    <w:link w:val="BodyTextIndent2"/>
    <w:rsid w:val="00455903"/>
    <w:rPr>
      <w:rFonts w:ascii="Arial" w:hAnsi="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45F6D-EEFA-4AA3-A96A-2E072448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895</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Amendment Item</vt:lpstr>
    </vt:vector>
  </TitlesOfParts>
  <Company>CA State Lands Commission</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Item</dc:title>
  <dc:subject/>
  <dc:creator>Mike Hamilton</dc:creator>
  <cp:keywords/>
  <cp:lastModifiedBy>Lynda Smallwood</cp:lastModifiedBy>
  <cp:revision>8</cp:revision>
  <cp:lastPrinted>2009-05-08T16:15:00Z</cp:lastPrinted>
  <dcterms:created xsi:type="dcterms:W3CDTF">2009-04-29T18:41:00Z</dcterms:created>
  <dcterms:modified xsi:type="dcterms:W3CDTF">2009-05-18T21:23:00Z</dcterms:modified>
</cp:coreProperties>
</file>